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B2DAB" w:rsidRDefault="009B2DAB" w:rsidP="009B2DAB">
      <w:pPr>
        <w:pStyle w:val="Antrat1"/>
        <w:tabs>
          <w:tab w:val="num" w:pos="0"/>
          <w:tab w:val="left" w:pos="1260"/>
        </w:tabs>
        <w:spacing w:before="0" w:after="0"/>
        <w:ind w:firstLine="720"/>
        <w:jc w:val="right"/>
        <w:rPr>
          <w:rFonts w:ascii="Times New Roman" w:hAnsi="Times New Roman" w:cs="Times New Roman"/>
          <w:b w:val="0"/>
          <w:sz w:val="22"/>
          <w:szCs w:val="22"/>
        </w:rPr>
      </w:pPr>
      <w:r>
        <w:rPr>
          <w:rFonts w:ascii="Times New Roman" w:hAnsi="Times New Roman" w:cs="Times New Roman"/>
          <w:b w:val="0"/>
          <w:sz w:val="22"/>
          <w:szCs w:val="22"/>
        </w:rPr>
        <w:t>PATVIRTINTA</w:t>
      </w:r>
    </w:p>
    <w:p w:rsidR="009B2DAB" w:rsidRDefault="009B2DAB" w:rsidP="009B2DAB">
      <w:pPr>
        <w:jc w:val="right"/>
      </w:pPr>
      <w:r>
        <w:tab/>
      </w:r>
      <w:r>
        <w:tab/>
      </w:r>
      <w:r>
        <w:tab/>
      </w:r>
      <w:r>
        <w:tab/>
        <w:t>Vilniaus lopšelio-darželio „Žilvitis“</w:t>
      </w:r>
    </w:p>
    <w:p w:rsidR="009B2DAB" w:rsidRDefault="009B2DAB" w:rsidP="009B2DAB">
      <w:pPr>
        <w:jc w:val="right"/>
      </w:pPr>
      <w:r>
        <w:tab/>
      </w:r>
      <w:r>
        <w:tab/>
      </w:r>
      <w:r>
        <w:tab/>
      </w:r>
      <w:r>
        <w:tab/>
        <w:t xml:space="preserve">direktorės </w:t>
      </w:r>
      <w:r w:rsidRPr="00E862A8">
        <w:t xml:space="preserve">2014 m. </w:t>
      </w:r>
      <w:r>
        <w:t>balandžio 2</w:t>
      </w:r>
      <w:r w:rsidRPr="00E862A8">
        <w:t xml:space="preserve">  d.</w:t>
      </w:r>
    </w:p>
    <w:p w:rsidR="009B2DAB" w:rsidRPr="00126699" w:rsidRDefault="00D80B23" w:rsidP="009B2DAB">
      <w:pPr>
        <w:jc w:val="right"/>
      </w:pPr>
      <w:r>
        <w:tab/>
      </w:r>
      <w:r>
        <w:tab/>
      </w:r>
      <w:r>
        <w:tab/>
      </w:r>
      <w:r>
        <w:tab/>
        <w:t>Įsakymu Nr. V-46</w:t>
      </w:r>
    </w:p>
    <w:p w:rsidR="00A004BD" w:rsidRDefault="00A004BD" w:rsidP="009B2DAB">
      <w:pPr>
        <w:spacing w:after="120" w:line="360" w:lineRule="auto"/>
        <w:jc w:val="right"/>
        <w:rPr>
          <w:rFonts w:cs="Times New Roman"/>
          <w:b/>
          <w:sz w:val="40"/>
          <w:szCs w:val="40"/>
        </w:rPr>
      </w:pPr>
    </w:p>
    <w:p w:rsidR="00A004BD" w:rsidRDefault="00A004BD">
      <w:pPr>
        <w:spacing w:after="120" w:line="360" w:lineRule="auto"/>
        <w:jc w:val="center"/>
        <w:rPr>
          <w:rFonts w:cs="Times New Roman"/>
          <w:b/>
          <w:sz w:val="40"/>
          <w:szCs w:val="40"/>
        </w:rPr>
      </w:pPr>
    </w:p>
    <w:p w:rsidR="00A004BD" w:rsidRDefault="00A004BD">
      <w:pPr>
        <w:spacing w:after="120" w:line="360" w:lineRule="auto"/>
        <w:jc w:val="center"/>
        <w:rPr>
          <w:rFonts w:cs="Times New Roman"/>
          <w:b/>
          <w:sz w:val="40"/>
          <w:szCs w:val="40"/>
        </w:rPr>
      </w:pPr>
    </w:p>
    <w:p w:rsidR="00A004BD" w:rsidRDefault="00A004BD">
      <w:pPr>
        <w:spacing w:after="120" w:line="360" w:lineRule="auto"/>
        <w:jc w:val="center"/>
        <w:rPr>
          <w:rFonts w:cs="Times New Roman"/>
          <w:b/>
          <w:sz w:val="40"/>
          <w:szCs w:val="40"/>
        </w:rPr>
      </w:pPr>
    </w:p>
    <w:p w:rsidR="00A004BD" w:rsidRDefault="00A004BD">
      <w:pPr>
        <w:spacing w:after="120" w:line="360" w:lineRule="auto"/>
        <w:jc w:val="center"/>
        <w:rPr>
          <w:rFonts w:cs="Times New Roman"/>
          <w:b/>
          <w:sz w:val="40"/>
          <w:szCs w:val="40"/>
        </w:rPr>
      </w:pPr>
    </w:p>
    <w:p w:rsidR="00A004BD" w:rsidRDefault="00A004BD">
      <w:pPr>
        <w:spacing w:after="120" w:line="360" w:lineRule="auto"/>
        <w:jc w:val="center"/>
        <w:rPr>
          <w:rFonts w:cs="Times New Roman"/>
          <w:b/>
          <w:sz w:val="40"/>
          <w:szCs w:val="40"/>
        </w:rPr>
      </w:pPr>
    </w:p>
    <w:p w:rsidR="00A004BD" w:rsidRDefault="00A004BD">
      <w:pPr>
        <w:spacing w:after="120" w:line="360" w:lineRule="auto"/>
        <w:jc w:val="center"/>
        <w:rPr>
          <w:rFonts w:cs="Times New Roman"/>
          <w:b/>
          <w:sz w:val="40"/>
          <w:szCs w:val="40"/>
        </w:rPr>
      </w:pPr>
    </w:p>
    <w:p w:rsidR="00A004BD" w:rsidRDefault="00A004BD">
      <w:pPr>
        <w:spacing w:after="120" w:line="360" w:lineRule="auto"/>
        <w:jc w:val="center"/>
        <w:rPr>
          <w:rFonts w:cs="Times New Roman"/>
          <w:b/>
          <w:sz w:val="40"/>
          <w:szCs w:val="40"/>
        </w:rPr>
      </w:pPr>
    </w:p>
    <w:p w:rsidR="00A004BD" w:rsidRDefault="00A004BD">
      <w:pPr>
        <w:spacing w:after="120" w:line="360" w:lineRule="auto"/>
        <w:jc w:val="center"/>
        <w:rPr>
          <w:rFonts w:cs="Times New Roman"/>
          <w:b/>
          <w:sz w:val="52"/>
          <w:szCs w:val="52"/>
        </w:rPr>
      </w:pPr>
      <w:r>
        <w:rPr>
          <w:rFonts w:cs="Times New Roman"/>
          <w:b/>
          <w:sz w:val="40"/>
          <w:szCs w:val="40"/>
        </w:rPr>
        <w:t>VILNIAUS LOPŠELIS-DARŽELIS „ŽILVITIS“    APSKAITOS VADOVAS</w:t>
      </w:r>
    </w:p>
    <w:p w:rsidR="00A004BD" w:rsidRDefault="00A004BD">
      <w:pPr>
        <w:spacing w:after="120" w:line="360" w:lineRule="auto"/>
        <w:ind w:firstLine="540"/>
        <w:rPr>
          <w:rFonts w:cs="Times New Roman"/>
          <w:b/>
          <w:sz w:val="52"/>
          <w:szCs w:val="52"/>
        </w:rPr>
      </w:pPr>
    </w:p>
    <w:p w:rsidR="00A004BD" w:rsidRDefault="00A004BD">
      <w:pPr>
        <w:spacing w:after="120" w:line="360" w:lineRule="auto"/>
        <w:ind w:firstLine="540"/>
        <w:rPr>
          <w:rFonts w:cs="Times New Roman"/>
          <w:b/>
          <w:sz w:val="52"/>
          <w:szCs w:val="52"/>
        </w:rPr>
      </w:pPr>
    </w:p>
    <w:p w:rsidR="00A004BD" w:rsidRDefault="00A004BD">
      <w:pPr>
        <w:spacing w:after="120" w:line="360" w:lineRule="auto"/>
        <w:ind w:firstLine="540"/>
        <w:rPr>
          <w:rFonts w:cs="Times New Roman"/>
          <w:b/>
          <w:sz w:val="52"/>
          <w:szCs w:val="52"/>
        </w:rPr>
      </w:pPr>
    </w:p>
    <w:p w:rsidR="00A004BD" w:rsidRDefault="00A004BD">
      <w:pPr>
        <w:spacing w:after="120" w:line="360" w:lineRule="auto"/>
        <w:ind w:firstLine="540"/>
        <w:rPr>
          <w:rFonts w:cs="Times New Roman"/>
          <w:b/>
          <w:sz w:val="52"/>
          <w:szCs w:val="52"/>
        </w:rPr>
      </w:pPr>
    </w:p>
    <w:p w:rsidR="00A004BD" w:rsidRDefault="00A004BD">
      <w:pPr>
        <w:spacing w:after="120" w:line="360" w:lineRule="auto"/>
        <w:ind w:firstLine="540"/>
        <w:rPr>
          <w:rFonts w:cs="Times New Roman"/>
          <w:b/>
          <w:sz w:val="52"/>
          <w:szCs w:val="52"/>
        </w:rPr>
      </w:pPr>
    </w:p>
    <w:p w:rsidR="00A004BD" w:rsidRDefault="00A004BD">
      <w:pPr>
        <w:spacing w:after="120" w:line="360" w:lineRule="auto"/>
        <w:ind w:firstLine="540"/>
        <w:rPr>
          <w:rFonts w:cs="Times New Roman"/>
          <w:b/>
          <w:sz w:val="52"/>
          <w:szCs w:val="52"/>
        </w:rPr>
      </w:pPr>
    </w:p>
    <w:p w:rsidR="00A004BD" w:rsidRDefault="00A004BD">
      <w:pPr>
        <w:sectPr w:rsidR="00A004BD">
          <w:headerReference w:type="default" r:id="rId7"/>
          <w:footerReference w:type="even" r:id="rId8"/>
          <w:footerReference w:type="default" r:id="rId9"/>
          <w:headerReference w:type="first" r:id="rId10"/>
          <w:footerReference w:type="first" r:id="rId11"/>
          <w:pgSz w:w="11906" w:h="16838"/>
          <w:pgMar w:top="964" w:right="567" w:bottom="1134" w:left="1021" w:header="567" w:footer="567" w:gutter="0"/>
          <w:cols w:space="1296"/>
          <w:docGrid w:linePitch="600" w:charSpace="32768"/>
        </w:sectPr>
      </w:pPr>
    </w:p>
    <w:p w:rsidR="00A004BD" w:rsidRDefault="00A004BD">
      <w:pPr>
        <w:spacing w:after="120" w:line="360" w:lineRule="auto"/>
        <w:ind w:firstLine="540"/>
        <w:rPr>
          <w:rFonts w:cs="Times New Roman"/>
          <w:b/>
          <w:sz w:val="52"/>
          <w:szCs w:val="52"/>
        </w:rPr>
      </w:pPr>
    </w:p>
    <w:p w:rsidR="00A004BD" w:rsidRDefault="00A004BD">
      <w:pPr>
        <w:spacing w:after="120"/>
        <w:jc w:val="center"/>
      </w:pPr>
      <w:r>
        <w:rPr>
          <w:rFonts w:cs="Times New Roman"/>
          <w:b/>
          <w:sz w:val="32"/>
          <w:szCs w:val="32"/>
        </w:rPr>
        <w:t>Turinys</w:t>
      </w:r>
    </w:p>
    <w:p w:rsidR="00A004BD" w:rsidRDefault="00A004BD">
      <w:pPr>
        <w:pStyle w:val="Turinys1"/>
      </w:pPr>
      <w:r>
        <w:fldChar w:fldCharType="begin"/>
      </w:r>
      <w:r>
        <w:instrText xml:space="preserve"> TOC \o "1-3" \h \z \u </w:instrText>
      </w:r>
      <w:r>
        <w:fldChar w:fldCharType="separate"/>
      </w:r>
      <w:hyperlink w:anchor="__RefHeading___Toc286759969" w:history="1">
        <w:r>
          <w:rPr>
            <w:caps/>
            <w:lang w:val="lt-LT"/>
          </w:rPr>
          <w:t>I.</w:t>
        </w:r>
        <w:r>
          <w:rPr>
            <w:rFonts w:ascii="Calibri" w:hAnsi="Calibri" w:cs="Calibri"/>
            <w:b w:val="0"/>
            <w:sz w:val="22"/>
            <w:szCs w:val="22"/>
            <w:lang w:val="lt-LT"/>
          </w:rPr>
          <w:tab/>
        </w:r>
        <w:r>
          <w:rPr>
            <w:caps/>
            <w:lang w:val="lt-LT"/>
          </w:rPr>
          <w:t>Bendrosios nuostatos</w:t>
        </w:r>
        <w:r>
          <w:rPr>
            <w:lang w:val="lt-LT"/>
          </w:rPr>
          <w:tab/>
          <w:t>3</w:t>
        </w:r>
      </w:hyperlink>
    </w:p>
    <w:p w:rsidR="00A004BD" w:rsidRDefault="00A004BD">
      <w:pPr>
        <w:pStyle w:val="Turinys2"/>
      </w:pPr>
      <w:hyperlink w:anchor="__RefHeading___Toc286759970" w:history="1">
        <w:r>
          <w:rPr>
            <w:spacing w:val="-1"/>
            <w:w w:val="103"/>
          </w:rPr>
          <w:t>Apskaitos vadovo rengimo prielaidos</w:t>
        </w:r>
        <w:r>
          <w:rPr/>
          <w:tab/>
          <w:t>3</w:t>
        </w:r>
      </w:hyperlink>
    </w:p>
    <w:p w:rsidR="00A004BD" w:rsidRDefault="00A004BD">
      <w:pPr>
        <w:pStyle w:val="Turinys2"/>
      </w:pPr>
      <w:hyperlink w:anchor="__RefHeading___Toc286759971" w:history="1">
        <w:r>
          <w:rPr>
            <w:spacing w:val="-1"/>
            <w:w w:val="103"/>
          </w:rPr>
          <w:t>Apskaitos vadovo tikslas ir apimtis</w:t>
        </w:r>
        <w:r>
          <w:rPr/>
          <w:tab/>
          <w:t>3</w:t>
        </w:r>
      </w:hyperlink>
    </w:p>
    <w:p w:rsidR="00A004BD" w:rsidRDefault="00A004BD">
      <w:pPr>
        <w:pStyle w:val="Turinys2"/>
      </w:pPr>
      <w:hyperlink w:anchor="__RefHeading___Toc286759972" w:history="1">
        <w:r>
          <w:rPr>
            <w:spacing w:val="-1"/>
            <w:w w:val="103"/>
          </w:rPr>
          <w:t>Apskaitos vadovo nuostatų galiojimas ir taikymas</w:t>
        </w:r>
        <w:r>
          <w:rPr/>
          <w:tab/>
          <w:t>3</w:t>
        </w:r>
      </w:hyperlink>
    </w:p>
    <w:p w:rsidR="00A004BD" w:rsidRDefault="00A004BD">
      <w:pPr>
        <w:pStyle w:val="Turinys1"/>
      </w:pPr>
      <w:hyperlink w:anchor="__RefHeading___Toc286759974" w:history="1">
        <w:r>
          <w:rPr>
            <w:caps/>
            <w:lang w:val="lt-LT"/>
          </w:rPr>
          <w:t>II.</w:t>
        </w:r>
        <w:r>
          <w:rPr>
            <w:rFonts w:ascii="Calibri" w:hAnsi="Calibri" w:cs="Calibri"/>
            <w:b w:val="0"/>
            <w:sz w:val="22"/>
            <w:szCs w:val="22"/>
            <w:lang w:val="lt-LT"/>
          </w:rPr>
          <w:tab/>
        </w:r>
        <w:r>
          <w:rPr>
            <w:caps/>
            <w:lang w:val="lt-LT"/>
          </w:rPr>
          <w:t>APSKAITOS POLITIKA</w:t>
        </w:r>
        <w:r>
          <w:rPr>
            <w:lang w:val="lt-LT"/>
          </w:rPr>
          <w:tab/>
          <w:t>4</w:t>
        </w:r>
      </w:hyperlink>
    </w:p>
    <w:p w:rsidR="00A004BD" w:rsidRDefault="00A004BD">
      <w:pPr>
        <w:pStyle w:val="Turinys2"/>
      </w:pPr>
      <w:hyperlink w:anchor="__RefHeading___Toc286759975" w:history="1">
        <w:r>
          <w:rPr>
            <w:spacing w:val="-1"/>
            <w:w w:val="103"/>
          </w:rPr>
          <w:t>Bendrieji apskaitos principai, metodai  ir taisyklės</w:t>
        </w:r>
        <w:r>
          <w:rPr/>
          <w:tab/>
          <w:t>5</w:t>
        </w:r>
      </w:hyperlink>
    </w:p>
    <w:p w:rsidR="00A004BD" w:rsidRDefault="00A004BD">
      <w:pPr>
        <w:pStyle w:val="Turinys2"/>
      </w:pPr>
      <w:hyperlink w:anchor="__RefHeading___Toc286759976" w:history="1">
        <w:r>
          <w:rPr>
            <w:spacing w:val="-1"/>
            <w:w w:val="103"/>
          </w:rPr>
          <w:t>Nematerialusis turtas</w:t>
        </w:r>
        <w:r>
          <w:rPr/>
          <w:tab/>
          <w:t>7</w:t>
        </w:r>
      </w:hyperlink>
    </w:p>
    <w:p w:rsidR="00A004BD" w:rsidRDefault="00A004BD">
      <w:pPr>
        <w:pStyle w:val="Turinys2"/>
      </w:pPr>
      <w:hyperlink w:anchor="__RefHeading___Toc286759977" w:history="1">
        <w:r>
          <w:rPr>
            <w:spacing w:val="-1"/>
            <w:w w:val="103"/>
          </w:rPr>
          <w:t>Ilgalaikis materialusis turtas</w:t>
        </w:r>
        <w:r>
          <w:rPr/>
          <w:tab/>
          <w:t>8</w:t>
        </w:r>
      </w:hyperlink>
    </w:p>
    <w:p w:rsidR="00A004BD" w:rsidRDefault="00A004BD">
      <w:pPr>
        <w:pStyle w:val="Turinys2"/>
      </w:pPr>
      <w:hyperlink w:anchor="__RefHeading___Toc286759978" w:history="1">
        <w:r>
          <w:rPr>
            <w:spacing w:val="-1"/>
            <w:w w:val="103"/>
          </w:rPr>
          <w:t>Biologinis turtas</w:t>
        </w:r>
        <w:r>
          <w:rPr/>
          <w:tab/>
          <w:t>9</w:t>
        </w:r>
      </w:hyperlink>
    </w:p>
    <w:p w:rsidR="00A004BD" w:rsidRDefault="00A004BD">
      <w:pPr>
        <w:pStyle w:val="Turinys2"/>
      </w:pPr>
      <w:hyperlink w:anchor="__RefHeading___Toc286759979" w:history="1">
        <w:r>
          <w:rPr>
            <w:spacing w:val="-1"/>
            <w:w w:val="103"/>
          </w:rPr>
          <w:t>Atsargos</w:t>
        </w:r>
        <w:r>
          <w:rPr/>
          <w:tab/>
          <w:t>10</w:t>
        </w:r>
      </w:hyperlink>
    </w:p>
    <w:p w:rsidR="00A004BD" w:rsidRDefault="00A004BD">
      <w:pPr>
        <w:pStyle w:val="Turinys2"/>
      </w:pPr>
      <w:hyperlink w:anchor="__RefHeading___Toc286759980" w:history="1">
        <w:r>
          <w:rPr>
            <w:rFonts w:cs="Arial"/>
            <w:spacing w:val="-1"/>
            <w:w w:val="103"/>
          </w:rPr>
          <w:t>Finansinis turtas</w:t>
        </w:r>
        <w:r>
          <w:rPr/>
          <w:tab/>
          <w:t>10</w:t>
        </w:r>
      </w:hyperlink>
    </w:p>
    <w:p w:rsidR="00A004BD" w:rsidRDefault="00A004BD">
      <w:pPr>
        <w:pStyle w:val="Turinys2"/>
      </w:pPr>
      <w:hyperlink w:anchor="__RefHeading___Toc286759981" w:history="1">
        <w:r>
          <w:rPr>
            <w:rFonts w:cs="Arial"/>
            <w:spacing w:val="-1"/>
            <w:w w:val="103"/>
          </w:rPr>
          <w:t>Gautinos sumos</w:t>
        </w:r>
        <w:r>
          <w:rPr/>
          <w:tab/>
          <w:t>11</w:t>
        </w:r>
      </w:hyperlink>
    </w:p>
    <w:p w:rsidR="00A004BD" w:rsidRDefault="00A004BD">
      <w:pPr>
        <w:pStyle w:val="Turinys2"/>
      </w:pPr>
      <w:hyperlink w:anchor="__RefHeading___Toc286759982" w:history="1">
        <w:r>
          <w:rPr>
            <w:rFonts w:cs="Arial"/>
            <w:spacing w:val="-1"/>
            <w:w w:val="103"/>
          </w:rPr>
          <w:t>Pinigai ir pinigų ekvivalentai</w:t>
        </w:r>
        <w:r>
          <w:rPr/>
          <w:tab/>
          <w:t>11</w:t>
        </w:r>
      </w:hyperlink>
    </w:p>
    <w:p w:rsidR="00A004BD" w:rsidRDefault="00A004BD">
      <w:pPr>
        <w:pStyle w:val="Turinys2"/>
      </w:pPr>
      <w:hyperlink w:anchor="__RefHeading___Toc286759983" w:history="1">
        <w:r>
          <w:rPr>
            <w:rFonts w:cs="Arial"/>
            <w:spacing w:val="-1"/>
            <w:w w:val="103"/>
          </w:rPr>
          <w:t>Finansavimo sumos</w:t>
        </w:r>
        <w:r>
          <w:rPr/>
          <w:tab/>
          <w:t>11</w:t>
        </w:r>
      </w:hyperlink>
    </w:p>
    <w:p w:rsidR="00A004BD" w:rsidRDefault="00A004BD">
      <w:pPr>
        <w:pStyle w:val="Turinys2"/>
      </w:pPr>
      <w:hyperlink w:anchor="__RefHeading___Toc286759984" w:history="1">
        <w:r>
          <w:rPr>
            <w:rFonts w:cs="Arial"/>
            <w:spacing w:val="-1"/>
            <w:w w:val="103"/>
          </w:rPr>
          <w:t>Finansiniai įsipareigojimai</w:t>
        </w:r>
        <w:r>
          <w:rPr/>
          <w:tab/>
          <w:t>12</w:t>
        </w:r>
      </w:hyperlink>
    </w:p>
    <w:p w:rsidR="00A004BD" w:rsidRDefault="00A004BD">
      <w:pPr>
        <w:pStyle w:val="Turinys2"/>
      </w:pPr>
      <w:hyperlink w:anchor="__RefHeading___Toc286759985" w:history="1">
        <w:r>
          <w:rPr>
            <w:rFonts w:cs="Arial"/>
            <w:spacing w:val="-1"/>
            <w:w w:val="103"/>
          </w:rPr>
          <w:t>Atidėjiniai</w:t>
        </w:r>
        <w:r>
          <w:rPr/>
          <w:tab/>
          <w:t>13</w:t>
        </w:r>
      </w:hyperlink>
    </w:p>
    <w:p w:rsidR="00A004BD" w:rsidRDefault="00A004BD">
      <w:pPr>
        <w:pStyle w:val="Turinys2"/>
      </w:pPr>
      <w:hyperlink w:anchor="__RefHeading___Toc286759986" w:history="1">
        <w:r>
          <w:rPr>
            <w:rFonts w:cs="Arial"/>
            <w:spacing w:val="-1"/>
            <w:w w:val="103"/>
          </w:rPr>
          <w:t>Finansinė nuoma (lizingas)</w:t>
        </w:r>
        <w:r>
          <w:rPr/>
          <w:tab/>
          <w:t>13</w:t>
        </w:r>
      </w:hyperlink>
    </w:p>
    <w:p w:rsidR="00A004BD" w:rsidRDefault="00A004BD">
      <w:pPr>
        <w:pStyle w:val="Turinys2"/>
      </w:pPr>
      <w:hyperlink w:anchor="__RefHeading___Toc286759987" w:history="1">
        <w:r>
          <w:rPr>
            <w:rFonts w:cs="Arial"/>
            <w:spacing w:val="-1"/>
            <w:w w:val="103"/>
          </w:rPr>
          <w:t>Pajamos</w:t>
        </w:r>
        <w:r>
          <w:rPr/>
          <w:tab/>
          <w:t>14</w:t>
        </w:r>
      </w:hyperlink>
    </w:p>
    <w:p w:rsidR="00A004BD" w:rsidRDefault="00A004BD">
      <w:pPr>
        <w:pStyle w:val="Turinys2"/>
      </w:pPr>
      <w:hyperlink w:anchor="__RefHeading___Toc286759988" w:history="1">
        <w:r>
          <w:rPr>
            <w:rFonts w:cs="Arial"/>
            <w:spacing w:val="-1"/>
            <w:w w:val="103"/>
          </w:rPr>
          <w:t>Sąnaudos</w:t>
        </w:r>
        <w:r>
          <w:rPr/>
          <w:tab/>
          <w:t>15</w:t>
        </w:r>
      </w:hyperlink>
    </w:p>
    <w:p w:rsidR="00A004BD" w:rsidRDefault="00A004BD">
      <w:pPr>
        <w:pStyle w:val="Turinys2"/>
      </w:pPr>
      <w:hyperlink w:anchor="__RefHeading___Toc286759989" w:history="1">
        <w:r>
          <w:rPr>
            <w:rFonts w:cs="Arial"/>
            <w:spacing w:val="-1"/>
            <w:w w:val="103"/>
          </w:rPr>
          <w:t>Sandoriai užsienio valiuta</w:t>
        </w:r>
        <w:r>
          <w:rPr/>
          <w:tab/>
          <w:t>15</w:t>
        </w:r>
      </w:hyperlink>
    </w:p>
    <w:p w:rsidR="00A004BD" w:rsidRDefault="00A004BD">
      <w:pPr>
        <w:pStyle w:val="Turinys2"/>
      </w:pPr>
      <w:hyperlink w:anchor="__RefHeading___Toc286759990" w:history="1">
        <w:r>
          <w:rPr>
            <w:rFonts w:cs="Arial"/>
            <w:spacing w:val="-1"/>
            <w:w w:val="103"/>
          </w:rPr>
          <w:t>Turto nuvertėjimas</w:t>
        </w:r>
        <w:r>
          <w:rPr/>
          <w:tab/>
          <w:t>15</w:t>
        </w:r>
      </w:hyperlink>
    </w:p>
    <w:p w:rsidR="00A004BD" w:rsidRDefault="00A004BD">
      <w:pPr>
        <w:pStyle w:val="Turinys2"/>
      </w:pPr>
      <w:hyperlink w:anchor="__RefHeading___Toc286759991" w:history="1">
        <w:r>
          <w:rPr>
            <w:rFonts w:cs="Arial"/>
            <w:spacing w:val="-1"/>
            <w:w w:val="103"/>
          </w:rPr>
          <w:t>Neapibrėžtieji įsipareigojimai ir neapibrėžtasis turtas</w:t>
        </w:r>
        <w:r>
          <w:rPr/>
          <w:tab/>
          <w:t>16</w:t>
        </w:r>
      </w:hyperlink>
    </w:p>
    <w:p w:rsidR="00A004BD" w:rsidRDefault="00A004BD">
      <w:pPr>
        <w:pStyle w:val="Turinys2"/>
      </w:pPr>
      <w:hyperlink w:anchor="__RefHeading___Toc286759992" w:history="1">
        <w:r>
          <w:rPr>
            <w:rFonts w:cs="Arial"/>
            <w:spacing w:val="-1"/>
            <w:w w:val="103"/>
          </w:rPr>
          <w:t>Poataskaitiniai įvykiai</w:t>
        </w:r>
        <w:r>
          <w:rPr/>
          <w:tab/>
          <w:t>17</w:t>
        </w:r>
      </w:hyperlink>
    </w:p>
    <w:p w:rsidR="00A004BD" w:rsidRDefault="00A004BD">
      <w:pPr>
        <w:pStyle w:val="Turinys2"/>
      </w:pPr>
      <w:hyperlink w:anchor="__RefHeading___Toc286759993" w:history="1">
        <w:r>
          <w:rPr>
            <w:rFonts w:cs="Arial"/>
            <w:spacing w:val="-1"/>
            <w:w w:val="103"/>
          </w:rPr>
          <w:t>Tarpusavio užskaitos ir palyginamieji skaičiai</w:t>
        </w:r>
        <w:r>
          <w:rPr/>
          <w:tab/>
          <w:t>17</w:t>
        </w:r>
      </w:hyperlink>
    </w:p>
    <w:p w:rsidR="00A004BD" w:rsidRDefault="00A004BD">
      <w:pPr>
        <w:pStyle w:val="Turinys2"/>
      </w:pPr>
      <w:hyperlink w:anchor="__RefHeading___Toc286759994" w:history="1">
        <w:r>
          <w:rPr>
            <w:rFonts w:cs="Arial"/>
            <w:spacing w:val="-1"/>
            <w:w w:val="103"/>
          </w:rPr>
          <w:t>Informacijos pagal segmentus pateikimas</w:t>
        </w:r>
        <w:r>
          <w:rPr/>
          <w:tab/>
          <w:t>17</w:t>
        </w:r>
      </w:hyperlink>
    </w:p>
    <w:p w:rsidR="00A004BD" w:rsidRDefault="00A004BD">
      <w:pPr>
        <w:pStyle w:val="Turinys2"/>
      </w:pPr>
      <w:hyperlink w:anchor="__RefHeading___Toc286759995" w:history="1">
        <w:r>
          <w:rPr>
            <w:rFonts w:cs="Arial"/>
            <w:spacing w:val="-1"/>
            <w:w w:val="103"/>
          </w:rPr>
          <w:t>Apskaitos politikos keitimas</w:t>
        </w:r>
        <w:r>
          <w:rPr/>
          <w:tab/>
          <w:t>18</w:t>
        </w:r>
      </w:hyperlink>
    </w:p>
    <w:p w:rsidR="00A004BD" w:rsidRDefault="00A004BD">
      <w:pPr>
        <w:pStyle w:val="Turinys2"/>
      </w:pPr>
      <w:hyperlink w:anchor="__RefHeading___Toc286759996" w:history="1">
        <w:r>
          <w:rPr>
            <w:rFonts w:cs="Arial"/>
            <w:spacing w:val="-1"/>
            <w:w w:val="103"/>
          </w:rPr>
          <w:t>Apskaitinių įverčių keitimas</w:t>
        </w:r>
        <w:r>
          <w:rPr/>
          <w:tab/>
          <w:t>19</w:t>
        </w:r>
      </w:hyperlink>
    </w:p>
    <w:p w:rsidR="00A004BD" w:rsidRDefault="00A004BD">
      <w:pPr>
        <w:pStyle w:val="Turinys2"/>
      </w:pPr>
      <w:hyperlink w:anchor="__RefHeading___Toc286759997" w:history="1">
        <w:r>
          <w:rPr>
            <w:rFonts w:cs="Arial"/>
            <w:spacing w:val="-1"/>
            <w:w w:val="103"/>
          </w:rPr>
          <w:t>Apskaitos klaidų taisymas</w:t>
        </w:r>
        <w:r>
          <w:rPr/>
          <w:tab/>
          <w:t>19</w:t>
        </w:r>
      </w:hyperlink>
    </w:p>
    <w:p w:rsidR="00A004BD" w:rsidRDefault="00A004BD">
      <w:pPr>
        <w:pStyle w:val="Turinys1"/>
        <w:tabs>
          <w:tab w:val="left" w:pos="660"/>
        </w:tabs>
      </w:pPr>
      <w:hyperlink w:anchor="__RefHeading___Toc286759998" w:history="1">
        <w:r>
          <w:rPr>
            <w:caps/>
            <w:lang w:val="lt-LT"/>
          </w:rPr>
          <w:t>III.</w:t>
        </w:r>
        <w:r>
          <w:rPr>
            <w:rFonts w:ascii="Calibri" w:hAnsi="Calibri" w:cs="Calibri"/>
            <w:b w:val="0"/>
            <w:sz w:val="22"/>
            <w:szCs w:val="22"/>
            <w:lang w:val="lt-LT"/>
          </w:rPr>
          <w:tab/>
        </w:r>
        <w:r>
          <w:rPr>
            <w:caps/>
            <w:lang w:val="lt-LT"/>
          </w:rPr>
          <w:t>FINANSINIŲ ATASKAITŲ RINKINYS</w:t>
        </w:r>
        <w:r>
          <w:rPr>
            <w:lang w:val="lt-LT"/>
          </w:rPr>
          <w:tab/>
          <w:t>20</w:t>
        </w:r>
      </w:hyperlink>
    </w:p>
    <w:p w:rsidR="00A004BD" w:rsidRDefault="00A004BD">
      <w:pPr>
        <w:pStyle w:val="Turinys2"/>
      </w:pPr>
      <w:hyperlink w:anchor="__RefHeading___Toc286759999" w:history="1">
        <w:r>
          <w:rPr>
            <w:rFonts w:cs="Arial"/>
          </w:rPr>
          <w:t>Finansinių ataskaitų rinkinys</w:t>
        </w:r>
        <w:r>
          <w:rPr/>
          <w:tab/>
          <w:t>20</w:t>
        </w:r>
      </w:hyperlink>
    </w:p>
    <w:p w:rsidR="00A004BD" w:rsidRDefault="00A004BD">
      <w:pPr>
        <w:pStyle w:val="Turinys2"/>
      </w:pPr>
      <w:hyperlink w:anchor="__RefHeading___Toc286760000" w:history="1">
        <w:r>
          <w:rPr>
            <w:rFonts w:cs="Arial"/>
            <w:spacing w:val="-1"/>
            <w:w w:val="103"/>
          </w:rPr>
          <w:t>Ataskaitinis laikotarpis</w:t>
        </w:r>
        <w:r>
          <w:rPr/>
          <w:tab/>
          <w:t>20</w:t>
        </w:r>
      </w:hyperlink>
    </w:p>
    <w:p w:rsidR="00A004BD" w:rsidRDefault="00A004BD">
      <w:pPr>
        <w:pStyle w:val="Turinys2"/>
      </w:pPr>
      <w:hyperlink w:anchor="__RefHeading___Toc286760001" w:history="1">
        <w:r>
          <w:rPr>
            <w:rFonts w:cs="Arial"/>
            <w:spacing w:val="-1"/>
            <w:w w:val="103"/>
          </w:rPr>
          <w:t>Finansinių ataskaitų rinkinio sudarymas ir teikimas</w:t>
        </w:r>
        <w:r>
          <w:rPr/>
          <w:tab/>
          <w:t>20</w:t>
        </w:r>
      </w:hyperlink>
    </w:p>
    <w:p w:rsidR="00A004BD" w:rsidRDefault="00A004BD">
      <w:pPr>
        <w:pStyle w:val="Turinys2"/>
      </w:pPr>
      <w:hyperlink w:anchor="__RefHeading___Toc286760002" w:history="1">
        <w:r>
          <w:rPr>
            <w:rFonts w:cs="Arial"/>
            <w:spacing w:val="-1"/>
            <w:w w:val="103"/>
          </w:rPr>
          <w:t>Metinių finansinių ataskaitų rinkinys</w:t>
        </w:r>
        <w:r>
          <w:rPr/>
          <w:tab/>
          <w:t>20</w:t>
        </w:r>
      </w:hyperlink>
    </w:p>
    <w:p w:rsidR="00A004BD" w:rsidRDefault="00A004BD">
      <w:pPr>
        <w:pStyle w:val="Turinys2"/>
      </w:pPr>
      <w:hyperlink w:anchor="__RefHeading___Toc286760003" w:history="1">
        <w:r>
          <w:rPr>
            <w:rFonts w:cs="Arial"/>
            <w:spacing w:val="-1"/>
            <w:w w:val="103"/>
          </w:rPr>
          <w:t>Tarpinių finansinių ataskaitų rinkinys</w:t>
        </w:r>
        <w:r>
          <w:rPr/>
          <w:tab/>
          <w:t>21</w:t>
        </w:r>
      </w:hyperlink>
    </w:p>
    <w:p w:rsidR="00A004BD" w:rsidRDefault="00A004BD">
      <w:pPr>
        <w:pStyle w:val="Turinys2"/>
      </w:pPr>
      <w:hyperlink w:anchor="__RefHeading___Toc286760004" w:history="1">
        <w:r>
          <w:rPr>
            <w:rFonts w:cs="Arial"/>
            <w:spacing w:val="-1"/>
            <w:w w:val="103"/>
          </w:rPr>
          <w:t>Konsoliduotųjų finansinių ataskaitų rinkinys</w:t>
        </w:r>
        <w:r>
          <w:rPr/>
          <w:tab/>
          <w:t>22</w:t>
        </w:r>
      </w:hyperlink>
    </w:p>
    <w:p w:rsidR="00A004BD" w:rsidRDefault="00A004BD">
      <w:pPr>
        <w:pStyle w:val="Turinys2"/>
      </w:pPr>
      <w:hyperlink w:anchor="__RefHeading___Toc286760005" w:history="1">
        <w:r>
          <w:rPr>
            <w:rFonts w:cs="Arial"/>
            <w:spacing w:val="-1"/>
            <w:w w:val="103"/>
          </w:rPr>
          <w:t>Ataskaitų elementai ir jų vertinimas</w:t>
        </w:r>
        <w:r>
          <w:rPr/>
          <w:tab/>
          <w:t>22</w:t>
        </w:r>
      </w:hyperlink>
    </w:p>
    <w:p w:rsidR="00A004BD" w:rsidRDefault="00A004BD">
      <w:pPr>
        <w:pStyle w:val="Turinys2"/>
      </w:pPr>
      <w:hyperlink w:anchor="__RefHeading___Toc286760006" w:history="1">
        <w:r>
          <w:rPr>
            <w:rFonts w:cs="Arial"/>
            <w:spacing w:val="-1"/>
            <w:w w:val="103"/>
          </w:rPr>
          <w:t>Pagrindiniai reikalavimai finansinių ataskaitų rinkiniui</w:t>
        </w:r>
        <w:r>
          <w:rPr/>
          <w:tab/>
          <w:t>22</w:t>
        </w:r>
      </w:hyperlink>
    </w:p>
    <w:p w:rsidR="00A004BD" w:rsidRDefault="00A004BD">
      <w:pPr>
        <w:pStyle w:val="Turinys2"/>
      </w:pPr>
      <w:r>
        <w:t>Didžiosios knygos likučių tarpusavio sąsajų testai............................................................................23</w:t>
      </w:r>
    </w:p>
    <w:p w:rsidR="00A004BD" w:rsidRDefault="00A004BD">
      <w:pPr>
        <w:pStyle w:val="Turinys2"/>
      </w:pPr>
      <w:r>
        <w:t>Finansinių ataskaitų tarpusavio sąsajos.............................................................................................23</w:t>
      </w:r>
    </w:p>
    <w:p w:rsidR="00A004BD" w:rsidRDefault="00A004BD">
      <w:pPr>
        <w:pStyle w:val="Turinys2"/>
      </w:pPr>
      <w:r>
        <w:t>Finansinių ataskaitų ir aiškinamojo rašto lentelių sąsajų tikrinimas..............................................24</w:t>
      </w:r>
    </w:p>
    <w:p w:rsidR="00A004BD" w:rsidRDefault="00A004BD">
      <w:pPr>
        <w:pStyle w:val="Turinys2"/>
      </w:pPr>
      <w:hyperlink w:anchor="__RefHeading___Toc286760011" w:history="1">
        <w:r>
          <w:rPr>
            <w:rFonts w:cs="Arial"/>
            <w:spacing w:val="-1"/>
            <w:w w:val="103"/>
          </w:rPr>
          <w:t>Biudžeto vykdymo ataskaitų rinkinys</w:t>
        </w:r>
        <w:r>
          <w:rPr/>
          <w:tab/>
          <w:t>28</w:t>
        </w:r>
      </w:hyperlink>
    </w:p>
    <w:p w:rsidR="00A004BD" w:rsidRDefault="00A004BD">
      <w:pPr>
        <w:pStyle w:val="Turinys1"/>
        <w:tabs>
          <w:tab w:val="left" w:pos="660"/>
        </w:tabs>
      </w:pPr>
      <w:hyperlink w:anchor="__RefHeading___Toc286760012" w:history="1">
        <w:r>
          <w:rPr>
            <w:caps/>
            <w:lang w:val="lt-LT"/>
          </w:rPr>
          <w:t>IV.</w:t>
        </w:r>
        <w:r>
          <w:rPr>
            <w:rFonts w:ascii="Calibri" w:hAnsi="Calibri" w:cs="Calibri"/>
            <w:b w:val="0"/>
            <w:sz w:val="22"/>
            <w:szCs w:val="22"/>
            <w:lang w:val="lt-LT"/>
          </w:rPr>
          <w:tab/>
        </w:r>
        <w:r>
          <w:rPr>
            <w:caps/>
            <w:lang w:val="lt-LT"/>
          </w:rPr>
          <w:t>APSKAITOS ORGANIZAVIMAS</w:t>
        </w:r>
        <w:r>
          <w:rPr>
            <w:lang w:val="lt-LT"/>
          </w:rPr>
          <w:tab/>
          <w:t>28</w:t>
        </w:r>
      </w:hyperlink>
    </w:p>
    <w:p w:rsidR="00A004BD" w:rsidRDefault="00A004BD">
      <w:pPr>
        <w:pStyle w:val="Turinys2"/>
      </w:pPr>
      <w:hyperlink w:anchor="__RefHeading___Toc286760013" w:history="1">
        <w:r>
          <w:rPr>
            <w:rFonts w:cs="Arial"/>
            <w:spacing w:val="-1"/>
            <w:w w:val="103"/>
          </w:rPr>
          <w:t>Atsakomybė už apskaitos organizavimą</w:t>
        </w:r>
        <w:r>
          <w:rPr/>
          <w:tab/>
          <w:t>28</w:t>
        </w:r>
      </w:hyperlink>
    </w:p>
    <w:p w:rsidR="00A004BD" w:rsidRDefault="00A004BD">
      <w:pPr>
        <w:pStyle w:val="Turinys2"/>
      </w:pPr>
      <w:hyperlink w:anchor="__RefHeading___Toc286760014" w:history="1">
        <w:r>
          <w:rPr>
            <w:rFonts w:cs="Arial"/>
            <w:spacing w:val="-1"/>
            <w:w w:val="103"/>
          </w:rPr>
          <w:t>Apskaitos tvarkytojas</w:t>
        </w:r>
        <w:r>
          <w:rPr/>
          <w:tab/>
          <w:t>29</w:t>
        </w:r>
      </w:hyperlink>
    </w:p>
    <w:p w:rsidR="00A004BD" w:rsidRDefault="00A004BD">
      <w:pPr>
        <w:pStyle w:val="Turinys2"/>
      </w:pPr>
      <w:hyperlink w:anchor="__RefHeading___Toc286760015" w:history="1">
        <w:r>
          <w:rPr>
            <w:rFonts w:cs="Arial"/>
          </w:rPr>
          <w:t>Apskaitos sistema</w:t>
        </w:r>
        <w:r>
          <w:rPr/>
          <w:tab/>
          <w:t>29</w:t>
        </w:r>
      </w:hyperlink>
    </w:p>
    <w:p w:rsidR="00A004BD" w:rsidRDefault="00A004BD">
      <w:pPr>
        <w:pStyle w:val="Turinys1"/>
      </w:pPr>
      <w:hyperlink w:anchor="__RefHeading___Toc286760016" w:history="1">
        <w:r>
          <w:rPr>
            <w:caps/>
            <w:lang w:val="lt-LT"/>
          </w:rPr>
          <w:t>V.</w:t>
        </w:r>
        <w:r>
          <w:rPr>
            <w:rFonts w:ascii="Calibri" w:hAnsi="Calibri" w:cs="Calibri"/>
            <w:b w:val="0"/>
            <w:sz w:val="22"/>
            <w:szCs w:val="22"/>
            <w:lang w:val="lt-LT"/>
          </w:rPr>
          <w:tab/>
        </w:r>
        <w:r>
          <w:rPr>
            <w:caps/>
            <w:lang w:val="lt-LT"/>
          </w:rPr>
          <w:t>SĄSKAITŲ PLANAS</w:t>
        </w:r>
        <w:r>
          <w:rPr>
            <w:lang w:val="lt-LT"/>
          </w:rPr>
          <w:tab/>
          <w:t>2</w:t>
        </w:r>
      </w:hyperlink>
      <w:r>
        <w:t>8</w:t>
      </w:r>
    </w:p>
    <w:p w:rsidR="00A004BD" w:rsidRDefault="00A004BD">
      <w:pPr>
        <w:pStyle w:val="Turinys1"/>
        <w:tabs>
          <w:tab w:val="left" w:pos="660"/>
        </w:tabs>
      </w:pPr>
      <w:r>
        <w:fldChar w:fldCharType="end"/>
      </w:r>
    </w:p>
    <w:p w:rsidR="00A004BD" w:rsidRDefault="00A004BD">
      <w:pPr>
        <w:tabs>
          <w:tab w:val="left" w:pos="660"/>
        </w:tabs>
        <w:spacing w:after="120" w:line="360" w:lineRule="auto"/>
        <w:rPr>
          <w:rFonts w:cs="Times New Roman"/>
          <w:b/>
          <w:sz w:val="52"/>
          <w:szCs w:val="52"/>
        </w:rPr>
      </w:pPr>
    </w:p>
    <w:p w:rsidR="00A004BD" w:rsidRDefault="00A004BD">
      <w:pPr>
        <w:spacing w:after="120" w:line="360" w:lineRule="auto"/>
        <w:rPr>
          <w:rFonts w:cs="Times New Roman"/>
          <w:b/>
          <w:szCs w:val="24"/>
        </w:rPr>
      </w:pPr>
    </w:p>
    <w:p w:rsidR="00A004BD" w:rsidRDefault="00A004BD">
      <w:pPr>
        <w:spacing w:after="120" w:line="360" w:lineRule="auto"/>
        <w:rPr>
          <w:rFonts w:cs="Times New Roman"/>
          <w:b/>
          <w:sz w:val="20"/>
          <w:szCs w:val="20"/>
        </w:rPr>
      </w:pPr>
    </w:p>
    <w:p w:rsidR="00A004BD" w:rsidRDefault="00A004BD">
      <w:pPr>
        <w:pStyle w:val="Antrat1"/>
        <w:numPr>
          <w:ilvl w:val="0"/>
          <w:numId w:val="3"/>
        </w:numPr>
        <w:spacing w:before="0" w:after="0" w:line="360" w:lineRule="auto"/>
        <w:jc w:val="center"/>
      </w:pPr>
      <w:bookmarkStart w:id="0" w:name="__RefHeading___Toc286759969"/>
      <w:bookmarkEnd w:id="0"/>
      <w:r>
        <w:rPr>
          <w:rFonts w:ascii="Times New Roman" w:hAnsi="Times New Roman" w:cs="Times New Roman"/>
          <w:bCs w:val="0"/>
          <w:caps/>
          <w:sz w:val="24"/>
          <w:szCs w:val="24"/>
        </w:rPr>
        <w:t>Bendrosios nuostatos</w:t>
      </w:r>
    </w:p>
    <w:p w:rsidR="00A004BD" w:rsidRDefault="00A004BD">
      <w:pPr>
        <w:spacing w:line="360" w:lineRule="auto"/>
        <w:jc w:val="center"/>
      </w:pPr>
    </w:p>
    <w:p w:rsidR="00A004BD" w:rsidRDefault="00A004BD">
      <w:pPr>
        <w:pStyle w:val="Antrat2"/>
        <w:numPr>
          <w:ilvl w:val="0"/>
          <w:numId w:val="0"/>
        </w:numPr>
        <w:spacing w:before="0" w:after="0" w:line="360" w:lineRule="auto"/>
        <w:jc w:val="center"/>
        <w:rPr>
          <w:rFonts w:cs="Times New Roman"/>
          <w:szCs w:val="24"/>
        </w:rPr>
      </w:pPr>
      <w:bookmarkStart w:id="1" w:name="__RefHeading___Toc286759970"/>
      <w:bookmarkEnd w:id="1"/>
      <w:r>
        <w:rPr>
          <w:rFonts w:ascii="Times New Roman" w:hAnsi="Times New Roman" w:cs="Times New Roman"/>
          <w:i w:val="0"/>
          <w:iCs w:val="0"/>
          <w:color w:val="000000"/>
          <w:spacing w:val="-1"/>
          <w:w w:val="103"/>
          <w:sz w:val="24"/>
          <w:szCs w:val="24"/>
        </w:rPr>
        <w:t>Apskaitos vadovo rengimo prielaidos</w:t>
      </w:r>
    </w:p>
    <w:p w:rsidR="00A004BD" w:rsidRDefault="00A004BD">
      <w:pPr>
        <w:widowControl w:val="0"/>
        <w:shd w:val="clear" w:color="auto" w:fill="FFFFFF"/>
        <w:tabs>
          <w:tab w:val="left" w:pos="1980"/>
        </w:tabs>
        <w:autoSpaceDE w:val="0"/>
        <w:spacing w:line="360" w:lineRule="auto"/>
        <w:ind w:left="1440" w:right="96"/>
        <w:jc w:val="center"/>
        <w:rPr>
          <w:rFonts w:cs="Times New Roman"/>
          <w:szCs w:val="24"/>
        </w:rPr>
      </w:pPr>
    </w:p>
    <w:p w:rsidR="00A004BD" w:rsidRDefault="00A004BD">
      <w:pPr>
        <w:widowControl w:val="0"/>
        <w:numPr>
          <w:ilvl w:val="0"/>
          <w:numId w:val="2"/>
        </w:numPr>
        <w:shd w:val="clear" w:color="auto" w:fill="FFFFFF"/>
        <w:tabs>
          <w:tab w:val="left" w:pos="1980"/>
        </w:tabs>
        <w:autoSpaceDE w:val="0"/>
        <w:spacing w:line="360" w:lineRule="auto"/>
        <w:jc w:val="both"/>
        <w:rPr>
          <w:rFonts w:cs="Times New Roman"/>
          <w:szCs w:val="24"/>
        </w:rPr>
      </w:pPr>
      <w:r>
        <w:rPr>
          <w:rFonts w:cs="Times New Roman"/>
          <w:szCs w:val="24"/>
        </w:rPr>
        <w:t xml:space="preserve">Šis biudžetinės įstaigos Vilniaus lopšelis-darželis „Žilvitis“ (toliau-l/d „Žilvitis“) apskaitos vadovas (toliau – Apskaitos vadovas) parengtas, siekiant užtikrinti, kad l/d „Žilvitis“ finansinė būklė (turtas, grynasis turtas, finansavimo sumos ir įsipareigojimai), taip pat surenkamos pajamos ir patiriamos sąnaudos būtų tiksliai ir teisingai parodytos finansinėje apskaitoje ir ataskaitose, kaip to reikalauja Lietuvos Respublikos viešojo sektoriaus atskaitomybės įstatymas, Viešojo sektoriaus apskaitos ir finansinės atskaitomybės standartai (toliau – VSAFAS) ir kiti Lietuvos Respublikos teisės aktai. </w:t>
      </w:r>
    </w:p>
    <w:p w:rsidR="00A004BD" w:rsidRDefault="00A004BD">
      <w:pPr>
        <w:widowControl w:val="0"/>
        <w:numPr>
          <w:ilvl w:val="0"/>
          <w:numId w:val="2"/>
        </w:numPr>
        <w:shd w:val="clear" w:color="auto" w:fill="FFFFFF"/>
        <w:tabs>
          <w:tab w:val="left" w:pos="1980"/>
        </w:tabs>
        <w:autoSpaceDE w:val="0"/>
        <w:spacing w:line="360" w:lineRule="auto"/>
        <w:jc w:val="both"/>
        <w:rPr>
          <w:rFonts w:cs="Times New Roman"/>
          <w:color w:val="000000"/>
          <w:spacing w:val="-1"/>
          <w:w w:val="103"/>
          <w:szCs w:val="24"/>
        </w:rPr>
      </w:pPr>
      <w:r>
        <w:rPr>
          <w:rFonts w:cs="Times New Roman"/>
          <w:szCs w:val="24"/>
        </w:rPr>
        <w:t xml:space="preserve">Apskaitos vadovas parengtas, siekiant detalizuoti VSAFAS nuostatas ir jas pritaikyti L/d „Žilvitis“ apskaitos ir finansinių ataskaitų specifikai bei siekiant sudaryti prielaidas konsoliduotų finansinių ataskaitų sudarymui. </w:t>
      </w:r>
    </w:p>
    <w:p w:rsidR="00A004BD" w:rsidRDefault="00A004BD">
      <w:pPr>
        <w:pStyle w:val="Antrat2"/>
        <w:numPr>
          <w:ilvl w:val="0"/>
          <w:numId w:val="0"/>
        </w:numPr>
        <w:spacing w:before="0" w:after="0" w:line="360" w:lineRule="auto"/>
        <w:rPr>
          <w:rFonts w:ascii="Times New Roman" w:hAnsi="Times New Roman" w:cs="Times New Roman"/>
          <w:i w:val="0"/>
          <w:iCs w:val="0"/>
          <w:color w:val="000000"/>
          <w:spacing w:val="-1"/>
          <w:w w:val="103"/>
          <w:sz w:val="24"/>
          <w:szCs w:val="24"/>
        </w:rPr>
      </w:pPr>
    </w:p>
    <w:p w:rsidR="00A004BD" w:rsidRDefault="00A004BD">
      <w:pPr>
        <w:pStyle w:val="Antrat2"/>
        <w:numPr>
          <w:ilvl w:val="0"/>
          <w:numId w:val="0"/>
        </w:numPr>
        <w:spacing w:before="0" w:after="0" w:line="360" w:lineRule="auto"/>
        <w:jc w:val="center"/>
        <w:rPr>
          <w:rFonts w:cs="Times New Roman"/>
          <w:szCs w:val="24"/>
        </w:rPr>
      </w:pPr>
      <w:bookmarkStart w:id="2" w:name="__RefHeading___Toc286759971"/>
      <w:bookmarkEnd w:id="2"/>
      <w:r>
        <w:rPr>
          <w:rFonts w:ascii="Times New Roman" w:hAnsi="Times New Roman" w:cs="Times New Roman"/>
          <w:i w:val="0"/>
          <w:iCs w:val="0"/>
          <w:color w:val="000000"/>
          <w:spacing w:val="-1"/>
          <w:w w:val="103"/>
          <w:sz w:val="24"/>
          <w:szCs w:val="24"/>
        </w:rPr>
        <w:t>Apskaitos vadovo tikslas ir apimtis</w:t>
      </w:r>
    </w:p>
    <w:p w:rsidR="00A004BD" w:rsidRDefault="00A004BD">
      <w:pPr>
        <w:widowControl w:val="0"/>
        <w:shd w:val="clear" w:color="auto" w:fill="FFFFFF"/>
        <w:tabs>
          <w:tab w:val="left" w:pos="1980"/>
        </w:tabs>
        <w:autoSpaceDE w:val="0"/>
        <w:spacing w:line="360" w:lineRule="auto"/>
        <w:ind w:left="1440" w:right="96"/>
        <w:rPr>
          <w:rFonts w:cs="Times New Roman"/>
          <w:szCs w:val="24"/>
        </w:rPr>
      </w:pPr>
    </w:p>
    <w:p w:rsidR="00A004BD" w:rsidRDefault="00A004BD">
      <w:pPr>
        <w:widowControl w:val="0"/>
        <w:numPr>
          <w:ilvl w:val="0"/>
          <w:numId w:val="2"/>
        </w:numPr>
        <w:shd w:val="clear" w:color="auto" w:fill="FFFFFF"/>
        <w:tabs>
          <w:tab w:val="left" w:pos="1980"/>
        </w:tabs>
        <w:autoSpaceDE w:val="0"/>
        <w:spacing w:line="360" w:lineRule="auto"/>
        <w:jc w:val="both"/>
        <w:rPr>
          <w:rFonts w:cs="Times New Roman"/>
          <w:szCs w:val="24"/>
        </w:rPr>
      </w:pPr>
      <w:r>
        <w:rPr>
          <w:rFonts w:cs="Times New Roman"/>
          <w:szCs w:val="24"/>
        </w:rPr>
        <w:t xml:space="preserve">Šio Apskaitos vadovo tikslas – reglamentuoti ir detalizuoti apskaitos politiką, taikomą organizuojant l/d „Žilvitis“ apskaitą ir finansinių ataskaitų rinkinio sudarymą. </w:t>
      </w:r>
    </w:p>
    <w:p w:rsidR="00A004BD" w:rsidRDefault="00A004BD">
      <w:pPr>
        <w:widowControl w:val="0"/>
        <w:numPr>
          <w:ilvl w:val="0"/>
          <w:numId w:val="2"/>
        </w:numPr>
        <w:shd w:val="clear" w:color="auto" w:fill="FFFFFF"/>
        <w:tabs>
          <w:tab w:val="left" w:pos="1980"/>
        </w:tabs>
        <w:autoSpaceDE w:val="0"/>
        <w:spacing w:line="360" w:lineRule="auto"/>
        <w:ind w:right="96"/>
        <w:jc w:val="both"/>
        <w:rPr>
          <w:rFonts w:cs="Times New Roman"/>
          <w:szCs w:val="24"/>
        </w:rPr>
      </w:pPr>
      <w:r>
        <w:rPr>
          <w:rFonts w:cs="Times New Roman"/>
          <w:szCs w:val="24"/>
        </w:rPr>
        <w:t>Apskaitos vadove pateikti VSAFAS nuostatų praktinio taikymo nurodymai kaip tvarkyti buhalterinę apskaitą pagal kaupimo principą ir kaip parengti finansinių ataskaitų rinkinį.</w:t>
      </w:r>
    </w:p>
    <w:p w:rsidR="00A004BD" w:rsidRDefault="00A004BD">
      <w:pPr>
        <w:widowControl w:val="0"/>
        <w:numPr>
          <w:ilvl w:val="0"/>
          <w:numId w:val="2"/>
        </w:numPr>
        <w:shd w:val="clear" w:color="auto" w:fill="FFFFFF"/>
        <w:tabs>
          <w:tab w:val="left" w:pos="1980"/>
        </w:tabs>
        <w:autoSpaceDE w:val="0"/>
        <w:spacing w:line="360" w:lineRule="auto"/>
        <w:ind w:right="96"/>
        <w:jc w:val="both"/>
        <w:rPr>
          <w:rFonts w:cs="Times New Roman"/>
          <w:szCs w:val="24"/>
        </w:rPr>
      </w:pPr>
      <w:r>
        <w:rPr>
          <w:rFonts w:cs="Times New Roman"/>
          <w:szCs w:val="24"/>
        </w:rPr>
        <w:t>Apskaitos vadovas nereglamentuoja įstaigos biudžeto vykdymo ataskaitų sudarymo. Biudžeto vykdymo ataskaitos sudaromos vadovaujantis Lietuvos Respublikos biudžeto sandaros įstatymu, Lietuvos Respublikos valstybės iždo įstatymu, Lietuvos Respublikos viešojo sektoriaus atskaitomybės įstatymu, Lietuvos Respublikos finansų ministro įsakymais ir kitais teisės aktais.</w:t>
      </w:r>
    </w:p>
    <w:p w:rsidR="00A004BD" w:rsidRDefault="00A004BD">
      <w:pPr>
        <w:widowControl w:val="0"/>
        <w:shd w:val="clear" w:color="auto" w:fill="FFFFFF"/>
        <w:tabs>
          <w:tab w:val="left" w:pos="1980"/>
        </w:tabs>
        <w:autoSpaceDE w:val="0"/>
        <w:spacing w:line="360" w:lineRule="auto"/>
        <w:ind w:left="360" w:right="96"/>
        <w:rPr>
          <w:rFonts w:cs="Times New Roman"/>
          <w:szCs w:val="24"/>
        </w:rPr>
      </w:pPr>
    </w:p>
    <w:p w:rsidR="00A004BD" w:rsidRDefault="00A004BD">
      <w:pPr>
        <w:pStyle w:val="Antrat2"/>
        <w:numPr>
          <w:ilvl w:val="0"/>
          <w:numId w:val="0"/>
        </w:numPr>
        <w:spacing w:before="0" w:after="0" w:line="360" w:lineRule="auto"/>
        <w:jc w:val="center"/>
        <w:rPr>
          <w:rFonts w:cs="Times New Roman"/>
          <w:szCs w:val="24"/>
        </w:rPr>
      </w:pPr>
      <w:bookmarkStart w:id="3" w:name="__RefHeading___Toc286759972"/>
      <w:bookmarkEnd w:id="3"/>
      <w:r>
        <w:rPr>
          <w:rFonts w:ascii="Times New Roman" w:hAnsi="Times New Roman" w:cs="Times New Roman"/>
          <w:i w:val="0"/>
          <w:iCs w:val="0"/>
          <w:color w:val="000000"/>
          <w:spacing w:val="-1"/>
          <w:w w:val="103"/>
          <w:sz w:val="24"/>
          <w:szCs w:val="24"/>
        </w:rPr>
        <w:t>Apskaitos vadovo nuostatų galiojimas ir taikymas</w:t>
      </w:r>
    </w:p>
    <w:p w:rsidR="00A004BD" w:rsidRDefault="00A004BD">
      <w:pPr>
        <w:widowControl w:val="0"/>
        <w:shd w:val="clear" w:color="auto" w:fill="FFFFFF"/>
        <w:tabs>
          <w:tab w:val="left" w:pos="1980"/>
        </w:tabs>
        <w:autoSpaceDE w:val="0"/>
        <w:spacing w:line="360" w:lineRule="auto"/>
        <w:ind w:right="96"/>
        <w:rPr>
          <w:rFonts w:cs="Times New Roman"/>
          <w:szCs w:val="24"/>
        </w:rPr>
      </w:pPr>
    </w:p>
    <w:p w:rsidR="00A004BD" w:rsidRDefault="00A004BD">
      <w:pPr>
        <w:widowControl w:val="0"/>
        <w:numPr>
          <w:ilvl w:val="0"/>
          <w:numId w:val="2"/>
        </w:numPr>
        <w:shd w:val="clear" w:color="auto" w:fill="FFFFFF"/>
        <w:tabs>
          <w:tab w:val="left" w:pos="1980"/>
        </w:tabs>
        <w:autoSpaceDE w:val="0"/>
        <w:spacing w:line="360" w:lineRule="auto"/>
        <w:ind w:right="96"/>
        <w:jc w:val="both"/>
        <w:rPr>
          <w:rFonts w:cs="Times New Roman"/>
          <w:szCs w:val="24"/>
        </w:rPr>
      </w:pPr>
      <w:r>
        <w:rPr>
          <w:rFonts w:cs="Times New Roman"/>
          <w:szCs w:val="24"/>
        </w:rPr>
        <w:t>Apskaitos vadovas parengtas vadovaujantis:</w:t>
      </w:r>
    </w:p>
    <w:p w:rsidR="00A004BD" w:rsidRDefault="00A004BD">
      <w:pPr>
        <w:widowControl w:val="0"/>
        <w:numPr>
          <w:ilvl w:val="1"/>
          <w:numId w:val="2"/>
        </w:numPr>
        <w:shd w:val="clear" w:color="auto" w:fill="FFFFFF"/>
        <w:tabs>
          <w:tab w:val="left" w:pos="540"/>
          <w:tab w:val="left" w:pos="1260"/>
        </w:tabs>
        <w:autoSpaceDE w:val="0"/>
        <w:spacing w:line="360" w:lineRule="auto"/>
        <w:ind w:right="96"/>
        <w:jc w:val="both"/>
        <w:rPr>
          <w:rFonts w:cs="Times New Roman"/>
          <w:szCs w:val="24"/>
        </w:rPr>
      </w:pPr>
      <w:r>
        <w:rPr>
          <w:rFonts w:cs="Times New Roman"/>
          <w:szCs w:val="24"/>
        </w:rPr>
        <w:t>Lietuvos Respublikos buhalterinės apskaitos įstatymu (Žin., 2001, Nr. 99-3515; 2008, Nr. 137-5372);</w:t>
      </w:r>
    </w:p>
    <w:p w:rsidR="00A004BD" w:rsidRDefault="00A004BD">
      <w:pPr>
        <w:widowControl w:val="0"/>
        <w:numPr>
          <w:ilvl w:val="1"/>
          <w:numId w:val="2"/>
        </w:numPr>
        <w:shd w:val="clear" w:color="auto" w:fill="FFFFFF"/>
        <w:tabs>
          <w:tab w:val="left" w:pos="540"/>
          <w:tab w:val="left" w:pos="1260"/>
        </w:tabs>
        <w:autoSpaceDE w:val="0"/>
        <w:spacing w:line="360" w:lineRule="auto"/>
        <w:ind w:right="96"/>
        <w:jc w:val="both"/>
        <w:rPr>
          <w:rFonts w:cs="Times New Roman"/>
          <w:szCs w:val="24"/>
        </w:rPr>
      </w:pPr>
      <w:r>
        <w:rPr>
          <w:rFonts w:cs="Times New Roman"/>
          <w:szCs w:val="24"/>
        </w:rPr>
        <w:t>Lietuvos Respublikos viešojo sektoriaus atskaitomybės įstatymu (Žin., 2007, Nr. 77-3046; 2008, Nr. 137-5370);</w:t>
      </w:r>
    </w:p>
    <w:p w:rsidR="00A004BD" w:rsidRDefault="00A004BD">
      <w:pPr>
        <w:widowControl w:val="0"/>
        <w:numPr>
          <w:ilvl w:val="1"/>
          <w:numId w:val="2"/>
        </w:numPr>
        <w:shd w:val="clear" w:color="auto" w:fill="FFFFFF"/>
        <w:tabs>
          <w:tab w:val="left" w:pos="540"/>
          <w:tab w:val="left" w:pos="1260"/>
        </w:tabs>
        <w:autoSpaceDE w:val="0"/>
        <w:spacing w:line="360" w:lineRule="auto"/>
        <w:ind w:right="96"/>
        <w:jc w:val="both"/>
        <w:rPr>
          <w:rFonts w:cs="Times New Roman"/>
          <w:szCs w:val="24"/>
        </w:rPr>
      </w:pPr>
      <w:r>
        <w:rPr>
          <w:rFonts w:cs="Times New Roman"/>
          <w:szCs w:val="24"/>
        </w:rPr>
        <w:t xml:space="preserve">Lietuvos Respublikos finansų ministro 2008 m. gruodžio 22 d. įsakymu Nr. 1K-455 „Dėl </w:t>
      </w:r>
      <w:r>
        <w:rPr>
          <w:rFonts w:cs="Times New Roman"/>
          <w:szCs w:val="24"/>
        </w:rPr>
        <w:lastRenderedPageBreak/>
        <w:t>privalomojo bendrojo sąskaitų plano patvirtinimo“ (Žin, 2008, Nr. 148-5952; 2009, Nr. 74-3020);</w:t>
      </w:r>
    </w:p>
    <w:p w:rsidR="00A004BD" w:rsidRDefault="00A004BD">
      <w:pPr>
        <w:widowControl w:val="0"/>
        <w:numPr>
          <w:ilvl w:val="1"/>
          <w:numId w:val="2"/>
        </w:numPr>
        <w:shd w:val="clear" w:color="auto" w:fill="FFFFFF"/>
        <w:tabs>
          <w:tab w:val="left" w:pos="540"/>
          <w:tab w:val="left" w:pos="1260"/>
        </w:tabs>
        <w:autoSpaceDE w:val="0"/>
        <w:spacing w:line="360" w:lineRule="auto"/>
        <w:ind w:right="96"/>
        <w:jc w:val="both"/>
        <w:rPr>
          <w:rFonts w:cs="Times New Roman"/>
          <w:szCs w:val="24"/>
        </w:rPr>
      </w:pPr>
      <w:r>
        <w:rPr>
          <w:rFonts w:cs="Times New Roman"/>
          <w:szCs w:val="24"/>
        </w:rPr>
        <w:t>Pavyzdiniu biudžetinių įstaigų sąskaitų planu;</w:t>
      </w:r>
    </w:p>
    <w:p w:rsidR="00A004BD" w:rsidRDefault="00A004BD">
      <w:pPr>
        <w:widowControl w:val="0"/>
        <w:numPr>
          <w:ilvl w:val="1"/>
          <w:numId w:val="2"/>
        </w:numPr>
        <w:shd w:val="clear" w:color="auto" w:fill="FFFFFF"/>
        <w:tabs>
          <w:tab w:val="left" w:pos="540"/>
          <w:tab w:val="left" w:pos="1260"/>
        </w:tabs>
        <w:autoSpaceDE w:val="0"/>
        <w:spacing w:line="360" w:lineRule="auto"/>
        <w:ind w:right="96"/>
        <w:jc w:val="both"/>
        <w:rPr>
          <w:rFonts w:cs="Times New Roman"/>
          <w:szCs w:val="24"/>
        </w:rPr>
      </w:pPr>
      <w:r>
        <w:rPr>
          <w:rFonts w:cs="Times New Roman"/>
          <w:szCs w:val="24"/>
        </w:rPr>
        <w:t>Viešojo sektoriaus apskaitos ir finansinės atskaitomybės standartais;</w:t>
      </w:r>
    </w:p>
    <w:p w:rsidR="00A004BD" w:rsidRDefault="00A004BD">
      <w:pPr>
        <w:widowControl w:val="0"/>
        <w:numPr>
          <w:ilvl w:val="1"/>
          <w:numId w:val="2"/>
        </w:numPr>
        <w:shd w:val="clear" w:color="auto" w:fill="FFFFFF"/>
        <w:tabs>
          <w:tab w:val="left" w:pos="540"/>
          <w:tab w:val="left" w:pos="1260"/>
        </w:tabs>
        <w:autoSpaceDE w:val="0"/>
        <w:spacing w:line="360" w:lineRule="auto"/>
        <w:ind w:right="96"/>
        <w:jc w:val="both"/>
        <w:rPr>
          <w:rFonts w:cs="Times New Roman"/>
          <w:szCs w:val="24"/>
        </w:rPr>
      </w:pPr>
      <w:r>
        <w:rPr>
          <w:rFonts w:cs="Times New Roman"/>
          <w:szCs w:val="24"/>
        </w:rPr>
        <w:t>Pavyzdiniu biudžetinių įstaigų buhalterinės apskaitos vadovu;</w:t>
      </w:r>
    </w:p>
    <w:p w:rsidR="00A004BD" w:rsidRDefault="00A004BD">
      <w:pPr>
        <w:widowControl w:val="0"/>
        <w:numPr>
          <w:ilvl w:val="1"/>
          <w:numId w:val="2"/>
        </w:numPr>
        <w:shd w:val="clear" w:color="auto" w:fill="FFFFFF"/>
        <w:tabs>
          <w:tab w:val="left" w:pos="540"/>
          <w:tab w:val="left" w:pos="1260"/>
        </w:tabs>
        <w:autoSpaceDE w:val="0"/>
        <w:spacing w:line="360" w:lineRule="auto"/>
        <w:ind w:right="96"/>
        <w:jc w:val="both"/>
        <w:rPr>
          <w:rFonts w:cs="Times New Roman"/>
          <w:szCs w:val="24"/>
        </w:rPr>
      </w:pPr>
      <w:r>
        <w:rPr>
          <w:rFonts w:cs="Times New Roman"/>
          <w:szCs w:val="24"/>
        </w:rPr>
        <w:t>Kitais teisės aktais, nurodytais atskiruose tvarkų aprašuose, pateiktuose šiame apskaitos vadove.</w:t>
      </w:r>
    </w:p>
    <w:p w:rsidR="00A004BD" w:rsidRDefault="00A004BD">
      <w:pPr>
        <w:widowControl w:val="0"/>
        <w:numPr>
          <w:ilvl w:val="0"/>
          <w:numId w:val="2"/>
        </w:numPr>
        <w:shd w:val="clear" w:color="auto" w:fill="FFFFFF"/>
        <w:tabs>
          <w:tab w:val="left" w:pos="1980"/>
        </w:tabs>
        <w:autoSpaceDE w:val="0"/>
        <w:spacing w:line="360" w:lineRule="auto"/>
        <w:jc w:val="both"/>
        <w:rPr>
          <w:rFonts w:cs="Times New Roman"/>
          <w:szCs w:val="24"/>
        </w:rPr>
      </w:pPr>
      <w:r>
        <w:rPr>
          <w:rFonts w:cs="Times New Roman"/>
          <w:szCs w:val="24"/>
        </w:rPr>
        <w:t>Prieš pradedant tvarkyti apskaitą pagal VSAFAS, l/d „Žilvitis“ didžiosios knygos sąskaitų likučiai buvo perkelti iš naudojamo sąskaitų plano sąskaitų į naujai  patvirtinto sąskaitų plano, kuris sudarytas vadovaujantis Lietuvos Respublikos finansų ministro 2008 m. gruodžio 22 d. įsakymo Nr. 1K-455 „Dėl privalomojo bendrojo sąskaitų plano patvirtinimo“ (Žin, 2008, Nr. 148-5952; 2009, Nr. 74-3020) nuostatomis ir Pavyzdiniu biudžetinių įstaigų sąskaitų planu, sąskaitas. Likučiai taip pat buvo įvertinti pagal VSAFAS reikalavimus.</w:t>
      </w:r>
    </w:p>
    <w:p w:rsidR="00A004BD" w:rsidRDefault="00A004BD">
      <w:pPr>
        <w:widowControl w:val="0"/>
        <w:numPr>
          <w:ilvl w:val="0"/>
          <w:numId w:val="2"/>
        </w:numPr>
        <w:shd w:val="clear" w:color="auto" w:fill="FFFFFF"/>
        <w:tabs>
          <w:tab w:val="left" w:pos="1980"/>
        </w:tabs>
        <w:autoSpaceDE w:val="0"/>
        <w:spacing w:line="360" w:lineRule="auto"/>
        <w:ind w:right="96"/>
        <w:jc w:val="both"/>
        <w:rPr>
          <w:rFonts w:cs="Times New Roman"/>
          <w:szCs w:val="24"/>
        </w:rPr>
      </w:pPr>
      <w:r>
        <w:rPr>
          <w:rFonts w:cs="Times New Roman"/>
          <w:szCs w:val="24"/>
        </w:rPr>
        <w:t xml:space="preserve">Ūkinės operacijos ir ūkiniai įvykiai buhalterinėje apskaitoje registruojami tik pagal jų pagrindimo apskaitos dokumentą, turintį visus Lietuvos Respublikos buhalterinės apskaitos įstatyme nustatytus rekvizitus. Buhalterinė pažyma surašoma tais atvejais, kai ūkinė operacija įvyko, tačiau apskaitos dokumentas dar negautas arba nėra įformintas kitoks dokumentas. Buhalterinė pažyma taip pat rengiama tais atvejais, kai atliekamas praėjusių laikotarpių finansinėse ataskaitose padarytų klaidų taisymas. </w:t>
      </w:r>
    </w:p>
    <w:p w:rsidR="00A004BD" w:rsidRDefault="00A004BD">
      <w:pPr>
        <w:widowControl w:val="0"/>
        <w:numPr>
          <w:ilvl w:val="0"/>
          <w:numId w:val="2"/>
        </w:numPr>
        <w:shd w:val="clear" w:color="auto" w:fill="FFFFFF"/>
        <w:tabs>
          <w:tab w:val="left" w:pos="1980"/>
        </w:tabs>
        <w:autoSpaceDE w:val="0"/>
        <w:spacing w:line="360" w:lineRule="auto"/>
        <w:jc w:val="both"/>
        <w:rPr>
          <w:rFonts w:cs="Times New Roman"/>
          <w:szCs w:val="24"/>
        </w:rPr>
      </w:pPr>
      <w:r>
        <w:rPr>
          <w:rFonts w:cs="Times New Roman"/>
          <w:szCs w:val="24"/>
        </w:rPr>
        <w:t>l/d „Žilvitis“ buhalterinėje apskaitoje, registruojant ūkines operacijas ir ūkinius įvykius, svarbu nustatyti ar šios operacijos bei įvykiai vyksta tarp įstaigos ir kitų viešojo sektoriaus subjektų ar ne. Viešojo sektoriaus subjektai, nustatyti  Lietuvos Respublikos viešojo sektoriaus atskaitomybės įstatymu (Žin., 2007, Nr. 77-3046; 2008, Nr. 137-5370), yra - valstybė; savivaldybės; biudžetinės įstaigos; sveikatos priežiūros viešosios įstaigos, kontroliuojamos valstybės, savivaldybės ar biudžetinės įstaigos; aukštosios mokyklos ir mokslinių tyrimų institutai, kurių teisinė forma yra viešoji įstaiga ir kurie yra kontroliuojami valstybės, savivaldybės ar biudžetinės įstaigos; bendrojo lavinimo mokyklos, profesinio mokymo įstaigos, kurių teisinė forma yra viešoji įstaiga ir kurios yra kontroliuojamos valstybės, savivaldybės ar biudžetinės įstaigos; socialinės globos įstaigos, kurių teisinė forma yra viešoji įstaiga ir kurios yra kontroliuojamos valstybės, savivaldybės ar biudžetinės įstaigos; išteklių fondai ir mokesčių fondai.</w:t>
      </w:r>
    </w:p>
    <w:p w:rsidR="00A004BD" w:rsidRDefault="00A004BD">
      <w:pPr>
        <w:tabs>
          <w:tab w:val="left" w:pos="720"/>
          <w:tab w:val="left" w:pos="1260"/>
        </w:tabs>
        <w:spacing w:line="360" w:lineRule="auto"/>
        <w:ind w:firstLine="720"/>
        <w:jc w:val="both"/>
        <w:rPr>
          <w:rFonts w:cs="Times New Roman"/>
          <w:szCs w:val="24"/>
        </w:rPr>
      </w:pPr>
    </w:p>
    <w:p w:rsidR="00A004BD" w:rsidRDefault="00A004BD">
      <w:pPr>
        <w:tabs>
          <w:tab w:val="left" w:pos="720"/>
          <w:tab w:val="left" w:pos="1260"/>
        </w:tabs>
        <w:spacing w:line="360" w:lineRule="auto"/>
        <w:ind w:firstLine="720"/>
        <w:jc w:val="both"/>
        <w:rPr>
          <w:rFonts w:cs="Times New Roman"/>
          <w:szCs w:val="24"/>
          <w:lang w:val="lt-LT"/>
        </w:rPr>
      </w:pPr>
    </w:p>
    <w:p w:rsidR="00A004BD" w:rsidRDefault="00A004BD">
      <w:pPr>
        <w:pStyle w:val="Antrat1"/>
        <w:numPr>
          <w:ilvl w:val="0"/>
          <w:numId w:val="3"/>
        </w:numPr>
        <w:spacing w:before="0" w:after="0" w:line="360" w:lineRule="auto"/>
        <w:jc w:val="center"/>
        <w:rPr>
          <w:rFonts w:cs="Times New Roman"/>
          <w:szCs w:val="24"/>
        </w:rPr>
      </w:pPr>
      <w:bookmarkStart w:id="4" w:name="__RefHeading___Toc286759974"/>
      <w:bookmarkEnd w:id="4"/>
      <w:r>
        <w:rPr>
          <w:rFonts w:ascii="Times New Roman" w:hAnsi="Times New Roman" w:cs="Times New Roman"/>
          <w:bCs w:val="0"/>
          <w:caps/>
          <w:sz w:val="24"/>
          <w:szCs w:val="24"/>
        </w:rPr>
        <w:t>APSKAITOS POLITIKA</w:t>
      </w:r>
    </w:p>
    <w:p w:rsidR="00A004BD" w:rsidRDefault="00A004BD">
      <w:pPr>
        <w:tabs>
          <w:tab w:val="left" w:pos="0"/>
          <w:tab w:val="left" w:pos="1260"/>
        </w:tabs>
        <w:spacing w:line="360" w:lineRule="auto"/>
        <w:ind w:firstLine="1298"/>
        <w:jc w:val="both"/>
        <w:rPr>
          <w:rFonts w:cs="Times New Roman"/>
          <w:szCs w:val="24"/>
        </w:rPr>
      </w:pPr>
    </w:p>
    <w:p w:rsidR="00A004BD" w:rsidRDefault="00A004BD">
      <w:pPr>
        <w:widowControl w:val="0"/>
        <w:numPr>
          <w:ilvl w:val="0"/>
          <w:numId w:val="2"/>
        </w:numPr>
        <w:shd w:val="clear" w:color="auto" w:fill="FFFFFF"/>
        <w:tabs>
          <w:tab w:val="left" w:pos="1980"/>
        </w:tabs>
        <w:autoSpaceDE w:val="0"/>
        <w:spacing w:line="360" w:lineRule="auto"/>
        <w:ind w:right="96"/>
        <w:jc w:val="both"/>
        <w:rPr>
          <w:rFonts w:cs="Times New Roman"/>
          <w:szCs w:val="24"/>
        </w:rPr>
      </w:pPr>
      <w:r>
        <w:rPr>
          <w:rFonts w:cs="Times New Roman"/>
          <w:szCs w:val="24"/>
        </w:rPr>
        <w:t>Lopšelis-darželis</w:t>
      </w:r>
      <w:bookmarkStart w:id="5" w:name="_Ref113193490"/>
      <w:r>
        <w:rPr>
          <w:rFonts w:cs="Times New Roman"/>
          <w:szCs w:val="24"/>
        </w:rPr>
        <w:t xml:space="preserve"> „Žilvitis“ taiko tokią apskaitos politiką, kuri užtikrina, kad </w:t>
      </w:r>
      <w:r>
        <w:rPr>
          <w:rFonts w:cs="Times New Roman"/>
          <w:szCs w:val="24"/>
        </w:rPr>
        <w:lastRenderedPageBreak/>
        <w:t>finansinių ataskaitų duomenys atitiktų kiekvieno taikytino VSAFAS reikalavimus. Jeigu nėra konkretaus VSAFAS reikalavimo, įstaiga vadovaujasi bendraisiais apskaitos principais, nustatytais 1-ajame VSAFAS „</w:t>
      </w:r>
      <w:r>
        <w:t>Informacijos pateikimas finansinių ataskaitų rinkinyje</w:t>
      </w:r>
      <w:r>
        <w:rPr>
          <w:rFonts w:cs="Times New Roman"/>
          <w:szCs w:val="24"/>
        </w:rPr>
        <w:t>“.</w:t>
      </w:r>
    </w:p>
    <w:p w:rsidR="00A004BD" w:rsidRDefault="00A004BD">
      <w:pPr>
        <w:widowControl w:val="0"/>
        <w:numPr>
          <w:ilvl w:val="0"/>
          <w:numId w:val="2"/>
        </w:numPr>
        <w:shd w:val="clear" w:color="auto" w:fill="FFFFFF"/>
        <w:tabs>
          <w:tab w:val="left" w:pos="1980"/>
        </w:tabs>
        <w:autoSpaceDE w:val="0"/>
        <w:spacing w:line="360" w:lineRule="auto"/>
        <w:ind w:right="96"/>
        <w:jc w:val="both"/>
        <w:rPr>
          <w:rFonts w:cs="Times New Roman"/>
          <w:szCs w:val="24"/>
        </w:rPr>
      </w:pPr>
      <w:r>
        <w:rPr>
          <w:rFonts w:cs="Times New Roman"/>
          <w:szCs w:val="24"/>
        </w:rPr>
        <w:t>Ši Apskaitos politika užtikrina, kad finansinėse ataskaitose pateikiama informacija yra:</w:t>
      </w:r>
      <w:bookmarkEnd w:id="5"/>
    </w:p>
    <w:p w:rsidR="00A004BD" w:rsidRDefault="00A004BD">
      <w:pPr>
        <w:widowControl w:val="0"/>
        <w:numPr>
          <w:ilvl w:val="1"/>
          <w:numId w:val="2"/>
        </w:numPr>
        <w:shd w:val="clear" w:color="auto" w:fill="FFFFFF"/>
        <w:tabs>
          <w:tab w:val="left" w:pos="540"/>
          <w:tab w:val="left" w:pos="1260"/>
        </w:tabs>
        <w:autoSpaceDE w:val="0"/>
        <w:spacing w:line="360" w:lineRule="auto"/>
        <w:ind w:right="96"/>
        <w:jc w:val="both"/>
        <w:rPr>
          <w:rFonts w:cs="Times New Roman"/>
          <w:szCs w:val="24"/>
        </w:rPr>
      </w:pPr>
      <w:r>
        <w:rPr>
          <w:rFonts w:cs="Times New Roman"/>
          <w:szCs w:val="24"/>
        </w:rPr>
        <w:t>svarbi vartotojų sprendimams priimti;</w:t>
      </w:r>
    </w:p>
    <w:p w:rsidR="00A004BD" w:rsidRDefault="00A004BD">
      <w:pPr>
        <w:widowControl w:val="0"/>
        <w:numPr>
          <w:ilvl w:val="1"/>
          <w:numId w:val="2"/>
        </w:numPr>
        <w:shd w:val="clear" w:color="auto" w:fill="FFFFFF"/>
        <w:tabs>
          <w:tab w:val="left" w:pos="540"/>
          <w:tab w:val="left" w:pos="1260"/>
        </w:tabs>
        <w:autoSpaceDE w:val="0"/>
        <w:spacing w:line="360" w:lineRule="auto"/>
        <w:ind w:right="96"/>
        <w:jc w:val="both"/>
        <w:rPr>
          <w:rFonts w:cs="Times New Roman"/>
          <w:szCs w:val="24"/>
        </w:rPr>
      </w:pPr>
      <w:r>
        <w:rPr>
          <w:rFonts w:cs="Times New Roman"/>
          <w:szCs w:val="24"/>
        </w:rPr>
        <w:t>patikima, nes:</w:t>
      </w:r>
    </w:p>
    <w:p w:rsidR="00A004BD" w:rsidRDefault="00A004BD">
      <w:pPr>
        <w:widowControl w:val="0"/>
        <w:numPr>
          <w:ilvl w:val="2"/>
          <w:numId w:val="2"/>
        </w:numPr>
        <w:shd w:val="clear" w:color="auto" w:fill="FFFFFF"/>
        <w:tabs>
          <w:tab w:val="left" w:pos="1440"/>
          <w:tab w:val="left" w:pos="1980"/>
        </w:tabs>
        <w:autoSpaceDE w:val="0"/>
        <w:spacing w:line="360" w:lineRule="auto"/>
        <w:jc w:val="both"/>
        <w:rPr>
          <w:rFonts w:cs="Times New Roman"/>
          <w:szCs w:val="24"/>
        </w:rPr>
      </w:pPr>
      <w:r>
        <w:rPr>
          <w:rFonts w:cs="Times New Roman"/>
          <w:szCs w:val="24"/>
        </w:rPr>
        <w:t>teisingai nurodo l/d „Žilvitis“ finansinius rezultatus, finansinę būklę ir pinigų srautus;</w:t>
      </w:r>
    </w:p>
    <w:p w:rsidR="00A004BD" w:rsidRDefault="00A004BD">
      <w:pPr>
        <w:widowControl w:val="0"/>
        <w:numPr>
          <w:ilvl w:val="2"/>
          <w:numId w:val="2"/>
        </w:numPr>
        <w:shd w:val="clear" w:color="auto" w:fill="FFFFFF"/>
        <w:tabs>
          <w:tab w:val="left" w:pos="1440"/>
          <w:tab w:val="left" w:pos="1980"/>
        </w:tabs>
        <w:autoSpaceDE w:val="0"/>
        <w:spacing w:line="360" w:lineRule="auto"/>
        <w:ind w:left="1985" w:right="96" w:hanging="725"/>
        <w:jc w:val="both"/>
        <w:rPr>
          <w:rFonts w:cs="Times New Roman"/>
          <w:szCs w:val="24"/>
        </w:rPr>
      </w:pPr>
      <w:r>
        <w:rPr>
          <w:rFonts w:cs="Times New Roman"/>
          <w:szCs w:val="24"/>
        </w:rPr>
        <w:t>parodo ūkinių įvykių ir ūkinių operacijų ekonominę prasmę, ne vien teisinę formą;</w:t>
      </w:r>
    </w:p>
    <w:p w:rsidR="00A004BD" w:rsidRDefault="00A004BD">
      <w:pPr>
        <w:widowControl w:val="0"/>
        <w:numPr>
          <w:ilvl w:val="1"/>
          <w:numId w:val="2"/>
        </w:numPr>
        <w:shd w:val="clear" w:color="auto" w:fill="FFFFFF"/>
        <w:tabs>
          <w:tab w:val="left" w:pos="540"/>
          <w:tab w:val="left" w:pos="1260"/>
        </w:tabs>
        <w:autoSpaceDE w:val="0"/>
        <w:spacing w:line="360" w:lineRule="auto"/>
        <w:ind w:right="96"/>
        <w:jc w:val="both"/>
        <w:rPr>
          <w:rFonts w:cs="Times New Roman"/>
          <w:szCs w:val="24"/>
        </w:rPr>
      </w:pPr>
      <w:r>
        <w:rPr>
          <w:rFonts w:cs="Times New Roman"/>
          <w:szCs w:val="24"/>
        </w:rPr>
        <w:t>nešališka, netendencinga;</w:t>
      </w:r>
    </w:p>
    <w:p w:rsidR="00A004BD" w:rsidRDefault="00A004BD">
      <w:pPr>
        <w:widowControl w:val="0"/>
        <w:numPr>
          <w:ilvl w:val="1"/>
          <w:numId w:val="2"/>
        </w:numPr>
        <w:shd w:val="clear" w:color="auto" w:fill="FFFFFF"/>
        <w:tabs>
          <w:tab w:val="left" w:pos="540"/>
          <w:tab w:val="left" w:pos="1260"/>
        </w:tabs>
        <w:autoSpaceDE w:val="0"/>
        <w:spacing w:line="360" w:lineRule="auto"/>
        <w:ind w:right="96"/>
        <w:jc w:val="both"/>
        <w:rPr>
          <w:rFonts w:cs="Times New Roman"/>
          <w:szCs w:val="24"/>
        </w:rPr>
      </w:pPr>
      <w:r>
        <w:rPr>
          <w:rFonts w:cs="Times New Roman"/>
          <w:szCs w:val="24"/>
        </w:rPr>
        <w:t>apdairiai pateikta (atsargumo principas);</w:t>
      </w:r>
    </w:p>
    <w:p w:rsidR="00A004BD" w:rsidRDefault="00A004BD">
      <w:pPr>
        <w:widowControl w:val="0"/>
        <w:numPr>
          <w:ilvl w:val="1"/>
          <w:numId w:val="2"/>
        </w:numPr>
        <w:shd w:val="clear" w:color="auto" w:fill="FFFFFF"/>
        <w:tabs>
          <w:tab w:val="left" w:pos="540"/>
          <w:tab w:val="left" w:pos="1260"/>
        </w:tabs>
        <w:autoSpaceDE w:val="0"/>
        <w:spacing w:line="360" w:lineRule="auto"/>
        <w:ind w:right="96"/>
        <w:jc w:val="both"/>
        <w:rPr>
          <w:rFonts w:cs="Times New Roman"/>
          <w:szCs w:val="24"/>
        </w:rPr>
      </w:pPr>
      <w:r>
        <w:rPr>
          <w:rFonts w:cs="Times New Roman"/>
          <w:szCs w:val="24"/>
        </w:rPr>
        <w:t>visais reikšmingais atvejais išsami.</w:t>
      </w:r>
    </w:p>
    <w:p w:rsidR="00A004BD" w:rsidRDefault="00A004BD">
      <w:pPr>
        <w:widowControl w:val="0"/>
        <w:numPr>
          <w:ilvl w:val="0"/>
          <w:numId w:val="2"/>
        </w:numPr>
        <w:shd w:val="clear" w:color="auto" w:fill="FFFFFF"/>
        <w:tabs>
          <w:tab w:val="left" w:pos="1980"/>
        </w:tabs>
        <w:autoSpaceDE w:val="0"/>
        <w:spacing w:line="360" w:lineRule="auto"/>
        <w:ind w:right="96"/>
        <w:jc w:val="both"/>
        <w:rPr>
          <w:rFonts w:cs="Times New Roman"/>
          <w:szCs w:val="24"/>
        </w:rPr>
      </w:pPr>
      <w:r>
        <w:rPr>
          <w:rFonts w:cs="Times New Roman"/>
          <w:szCs w:val="24"/>
        </w:rPr>
        <w:t>Įstaigos apskaitos politika taikoma nuolat.</w:t>
      </w:r>
    </w:p>
    <w:p w:rsidR="00A004BD" w:rsidRDefault="00A004BD">
      <w:pPr>
        <w:widowControl w:val="0"/>
        <w:numPr>
          <w:ilvl w:val="0"/>
          <w:numId w:val="2"/>
        </w:numPr>
        <w:shd w:val="clear" w:color="auto" w:fill="FFFFFF"/>
        <w:tabs>
          <w:tab w:val="left" w:pos="1980"/>
        </w:tabs>
        <w:autoSpaceDE w:val="0"/>
        <w:spacing w:line="360" w:lineRule="auto"/>
        <w:ind w:right="96"/>
        <w:jc w:val="both"/>
        <w:rPr>
          <w:rFonts w:cs="Times New Roman"/>
          <w:szCs w:val="24"/>
        </w:rPr>
      </w:pPr>
      <w:r>
        <w:rPr>
          <w:rFonts w:cs="Times New Roman"/>
          <w:szCs w:val="24"/>
        </w:rPr>
        <w:t xml:space="preserve">Apskaitos politika keičiama tik vadovaujantis 7-uoju VSAFAS „Apskaitos politikos, apskaitinių įverčių keitimas ir klaidų taisymas“ ir taikoma vienodai visiems finansinių ataskaitų straipsniams, kuriems turi įtakos apskaitos politikos keitimas. </w:t>
      </w:r>
    </w:p>
    <w:p w:rsidR="00A004BD" w:rsidRDefault="00A004BD">
      <w:pPr>
        <w:widowControl w:val="0"/>
        <w:numPr>
          <w:ilvl w:val="0"/>
          <w:numId w:val="2"/>
        </w:numPr>
        <w:shd w:val="clear" w:color="auto" w:fill="FFFFFF"/>
        <w:tabs>
          <w:tab w:val="left" w:pos="1980"/>
        </w:tabs>
        <w:autoSpaceDE w:val="0"/>
        <w:spacing w:line="360" w:lineRule="auto"/>
        <w:ind w:right="96"/>
        <w:jc w:val="both"/>
        <w:rPr>
          <w:rFonts w:cs="Times New Roman"/>
          <w:szCs w:val="24"/>
        </w:rPr>
      </w:pPr>
      <w:r>
        <w:rPr>
          <w:rFonts w:cs="Times New Roman"/>
          <w:szCs w:val="24"/>
        </w:rPr>
        <w:t>Apskaitos politika apima ūkinių operacijų ir įvykių pripažinimo, įvertinimo ir apskaitos principus, metodus ir taisykles.</w:t>
      </w:r>
    </w:p>
    <w:p w:rsidR="00A004BD" w:rsidRDefault="00A004BD">
      <w:pPr>
        <w:spacing w:line="360" w:lineRule="auto"/>
        <w:ind w:right="96" w:firstLine="1298"/>
        <w:jc w:val="both"/>
        <w:rPr>
          <w:rFonts w:cs="Times New Roman"/>
          <w:szCs w:val="24"/>
        </w:rPr>
      </w:pPr>
    </w:p>
    <w:p w:rsidR="00A004BD" w:rsidRDefault="00A004BD">
      <w:pPr>
        <w:pStyle w:val="Antrat2"/>
        <w:numPr>
          <w:ilvl w:val="0"/>
          <w:numId w:val="0"/>
        </w:numPr>
        <w:spacing w:before="0" w:after="0" w:line="360" w:lineRule="auto"/>
        <w:jc w:val="center"/>
        <w:rPr>
          <w:rFonts w:ascii="Times New Roman" w:hAnsi="Times New Roman" w:cs="Times New Roman"/>
          <w:i w:val="0"/>
          <w:iCs w:val="0"/>
          <w:sz w:val="24"/>
          <w:szCs w:val="24"/>
        </w:rPr>
      </w:pPr>
      <w:bookmarkStart w:id="6" w:name="__RefHeading___Toc286759975"/>
      <w:bookmarkEnd w:id="6"/>
      <w:r>
        <w:rPr>
          <w:rFonts w:ascii="Times New Roman" w:hAnsi="Times New Roman" w:cs="Times New Roman"/>
          <w:i w:val="0"/>
          <w:iCs w:val="0"/>
          <w:color w:val="000000"/>
          <w:spacing w:val="-1"/>
          <w:w w:val="103"/>
          <w:sz w:val="24"/>
          <w:szCs w:val="24"/>
        </w:rPr>
        <w:t>Bendrieji apskaitos principai, metodai ir taisyklės</w:t>
      </w:r>
    </w:p>
    <w:p w:rsidR="00A004BD" w:rsidRDefault="00A004BD">
      <w:pPr>
        <w:pStyle w:val="Antrat2"/>
        <w:numPr>
          <w:ilvl w:val="0"/>
          <w:numId w:val="0"/>
        </w:numPr>
        <w:tabs>
          <w:tab w:val="left" w:pos="1260"/>
          <w:tab w:val="left" w:pos="1620"/>
        </w:tabs>
        <w:spacing w:before="0" w:after="0" w:line="360" w:lineRule="auto"/>
        <w:ind w:left="360" w:right="96"/>
        <w:rPr>
          <w:rFonts w:cs="Times New Roman"/>
          <w:szCs w:val="24"/>
        </w:rPr>
      </w:pPr>
      <w:r>
        <w:rPr>
          <w:rFonts w:ascii="Times New Roman" w:hAnsi="Times New Roman" w:cs="Times New Roman"/>
          <w:i w:val="0"/>
          <w:iCs w:val="0"/>
          <w:sz w:val="24"/>
          <w:szCs w:val="24"/>
        </w:rPr>
        <w:tab/>
      </w:r>
    </w:p>
    <w:p w:rsidR="00A004BD" w:rsidRDefault="00A004BD">
      <w:pPr>
        <w:widowControl w:val="0"/>
        <w:numPr>
          <w:ilvl w:val="0"/>
          <w:numId w:val="2"/>
        </w:numPr>
        <w:shd w:val="clear" w:color="auto" w:fill="FFFFFF"/>
        <w:tabs>
          <w:tab w:val="left" w:pos="1980"/>
        </w:tabs>
        <w:autoSpaceDE w:val="0"/>
        <w:spacing w:line="360" w:lineRule="auto"/>
        <w:jc w:val="both"/>
        <w:rPr>
          <w:rFonts w:cs="Times New Roman"/>
          <w:szCs w:val="24"/>
        </w:rPr>
      </w:pPr>
      <w:r>
        <w:rPr>
          <w:rFonts w:cs="Times New Roman"/>
          <w:szCs w:val="24"/>
        </w:rPr>
        <w:t>Tvarkydama apskaitą ir sudarydama finansines ataskaitas, l/d „Žilvitis“ vadovaujasi VSAFAS.</w:t>
      </w:r>
    </w:p>
    <w:p w:rsidR="00A004BD" w:rsidRDefault="00A004BD">
      <w:pPr>
        <w:widowControl w:val="0"/>
        <w:numPr>
          <w:ilvl w:val="0"/>
          <w:numId w:val="2"/>
        </w:numPr>
        <w:shd w:val="clear" w:color="auto" w:fill="FFFFFF"/>
        <w:tabs>
          <w:tab w:val="left" w:pos="1980"/>
        </w:tabs>
        <w:autoSpaceDE w:val="0"/>
        <w:spacing w:line="360" w:lineRule="auto"/>
        <w:jc w:val="both"/>
        <w:rPr>
          <w:rFonts w:cs="Times New Roman"/>
          <w:szCs w:val="24"/>
        </w:rPr>
      </w:pPr>
      <w:r>
        <w:rPr>
          <w:rFonts w:cs="Times New Roman"/>
          <w:szCs w:val="24"/>
        </w:rPr>
        <w:t>l/d „Žilvitis“ apskaitoje ūkinės operacijos ir įvykiai registruojami ir finansinės ataskaitos rengiamos taikant šiuos bendruosius apskaitos principus:</w:t>
      </w:r>
    </w:p>
    <w:p w:rsidR="00A004BD" w:rsidRDefault="00A004BD">
      <w:pPr>
        <w:widowControl w:val="0"/>
        <w:numPr>
          <w:ilvl w:val="1"/>
          <w:numId w:val="2"/>
        </w:numPr>
        <w:shd w:val="clear" w:color="auto" w:fill="FFFFFF"/>
        <w:tabs>
          <w:tab w:val="left" w:pos="540"/>
          <w:tab w:val="left" w:pos="1260"/>
        </w:tabs>
        <w:autoSpaceDE w:val="0"/>
        <w:spacing w:line="360" w:lineRule="auto"/>
        <w:ind w:right="96"/>
        <w:rPr>
          <w:rFonts w:cs="Times New Roman"/>
          <w:szCs w:val="24"/>
        </w:rPr>
      </w:pPr>
      <w:r>
        <w:rPr>
          <w:rFonts w:cs="Times New Roman"/>
          <w:szCs w:val="24"/>
        </w:rPr>
        <w:t>kaupimo;</w:t>
      </w:r>
    </w:p>
    <w:p w:rsidR="00A004BD" w:rsidRDefault="00A004BD">
      <w:pPr>
        <w:widowControl w:val="0"/>
        <w:numPr>
          <w:ilvl w:val="1"/>
          <w:numId w:val="2"/>
        </w:numPr>
        <w:shd w:val="clear" w:color="auto" w:fill="FFFFFF"/>
        <w:tabs>
          <w:tab w:val="left" w:pos="540"/>
          <w:tab w:val="left" w:pos="1260"/>
        </w:tabs>
        <w:autoSpaceDE w:val="0"/>
        <w:spacing w:line="360" w:lineRule="auto"/>
        <w:ind w:right="96"/>
        <w:rPr>
          <w:rFonts w:cs="Times New Roman"/>
          <w:szCs w:val="24"/>
        </w:rPr>
      </w:pPr>
      <w:r>
        <w:rPr>
          <w:rFonts w:cs="Times New Roman"/>
          <w:szCs w:val="24"/>
        </w:rPr>
        <w:t>subjekto;</w:t>
      </w:r>
    </w:p>
    <w:p w:rsidR="00A004BD" w:rsidRDefault="00A004BD">
      <w:pPr>
        <w:widowControl w:val="0"/>
        <w:numPr>
          <w:ilvl w:val="1"/>
          <w:numId w:val="2"/>
        </w:numPr>
        <w:shd w:val="clear" w:color="auto" w:fill="FFFFFF"/>
        <w:tabs>
          <w:tab w:val="left" w:pos="540"/>
          <w:tab w:val="left" w:pos="1260"/>
        </w:tabs>
        <w:autoSpaceDE w:val="0"/>
        <w:spacing w:line="360" w:lineRule="auto"/>
        <w:ind w:right="96"/>
        <w:rPr>
          <w:rFonts w:cs="Times New Roman"/>
          <w:szCs w:val="24"/>
        </w:rPr>
      </w:pPr>
      <w:r>
        <w:rPr>
          <w:rFonts w:cs="Times New Roman"/>
          <w:szCs w:val="24"/>
        </w:rPr>
        <w:t>veiklos tęstinumo;</w:t>
      </w:r>
    </w:p>
    <w:p w:rsidR="00A004BD" w:rsidRDefault="00A004BD">
      <w:pPr>
        <w:widowControl w:val="0"/>
        <w:numPr>
          <w:ilvl w:val="1"/>
          <w:numId w:val="2"/>
        </w:numPr>
        <w:shd w:val="clear" w:color="auto" w:fill="FFFFFF"/>
        <w:tabs>
          <w:tab w:val="left" w:pos="540"/>
          <w:tab w:val="left" w:pos="1260"/>
        </w:tabs>
        <w:autoSpaceDE w:val="0"/>
        <w:spacing w:line="360" w:lineRule="auto"/>
        <w:ind w:right="96"/>
        <w:rPr>
          <w:rFonts w:cs="Times New Roman"/>
          <w:szCs w:val="24"/>
        </w:rPr>
      </w:pPr>
      <w:r>
        <w:rPr>
          <w:rFonts w:cs="Times New Roman"/>
          <w:szCs w:val="24"/>
        </w:rPr>
        <w:t>periodiškumo;</w:t>
      </w:r>
    </w:p>
    <w:p w:rsidR="00A004BD" w:rsidRDefault="00A004BD">
      <w:pPr>
        <w:widowControl w:val="0"/>
        <w:numPr>
          <w:ilvl w:val="1"/>
          <w:numId w:val="2"/>
        </w:numPr>
        <w:shd w:val="clear" w:color="auto" w:fill="FFFFFF"/>
        <w:tabs>
          <w:tab w:val="left" w:pos="540"/>
          <w:tab w:val="left" w:pos="1260"/>
        </w:tabs>
        <w:autoSpaceDE w:val="0"/>
        <w:spacing w:line="360" w:lineRule="auto"/>
        <w:ind w:right="96"/>
        <w:rPr>
          <w:rFonts w:cs="Times New Roman"/>
          <w:szCs w:val="24"/>
        </w:rPr>
      </w:pPr>
      <w:r>
        <w:rPr>
          <w:rFonts w:cs="Times New Roman"/>
          <w:szCs w:val="24"/>
        </w:rPr>
        <w:t>pastovumo;</w:t>
      </w:r>
    </w:p>
    <w:p w:rsidR="00A004BD" w:rsidRDefault="00A004BD">
      <w:pPr>
        <w:widowControl w:val="0"/>
        <w:numPr>
          <w:ilvl w:val="1"/>
          <w:numId w:val="2"/>
        </w:numPr>
        <w:shd w:val="clear" w:color="auto" w:fill="FFFFFF"/>
        <w:tabs>
          <w:tab w:val="left" w:pos="540"/>
          <w:tab w:val="left" w:pos="1260"/>
        </w:tabs>
        <w:autoSpaceDE w:val="0"/>
        <w:spacing w:line="360" w:lineRule="auto"/>
        <w:ind w:right="96"/>
        <w:rPr>
          <w:rFonts w:cs="Times New Roman"/>
          <w:szCs w:val="24"/>
        </w:rPr>
      </w:pPr>
      <w:r>
        <w:rPr>
          <w:rFonts w:cs="Times New Roman"/>
          <w:szCs w:val="24"/>
        </w:rPr>
        <w:t>piniginio mato;</w:t>
      </w:r>
    </w:p>
    <w:p w:rsidR="00A004BD" w:rsidRDefault="00A004BD">
      <w:pPr>
        <w:widowControl w:val="0"/>
        <w:numPr>
          <w:ilvl w:val="1"/>
          <w:numId w:val="2"/>
        </w:numPr>
        <w:shd w:val="clear" w:color="auto" w:fill="FFFFFF"/>
        <w:tabs>
          <w:tab w:val="left" w:pos="540"/>
          <w:tab w:val="left" w:pos="1260"/>
        </w:tabs>
        <w:autoSpaceDE w:val="0"/>
        <w:spacing w:line="360" w:lineRule="auto"/>
        <w:ind w:right="96"/>
        <w:rPr>
          <w:rFonts w:cs="Times New Roman"/>
          <w:szCs w:val="24"/>
        </w:rPr>
      </w:pPr>
      <w:r>
        <w:rPr>
          <w:rFonts w:cs="Times New Roman"/>
          <w:szCs w:val="24"/>
        </w:rPr>
        <w:t>palyginimo;</w:t>
      </w:r>
    </w:p>
    <w:p w:rsidR="00A004BD" w:rsidRDefault="00A004BD">
      <w:pPr>
        <w:widowControl w:val="0"/>
        <w:numPr>
          <w:ilvl w:val="1"/>
          <w:numId w:val="2"/>
        </w:numPr>
        <w:shd w:val="clear" w:color="auto" w:fill="FFFFFF"/>
        <w:tabs>
          <w:tab w:val="left" w:pos="540"/>
          <w:tab w:val="left" w:pos="1260"/>
        </w:tabs>
        <w:autoSpaceDE w:val="0"/>
        <w:spacing w:line="360" w:lineRule="auto"/>
        <w:ind w:right="96"/>
        <w:rPr>
          <w:rFonts w:cs="Times New Roman"/>
          <w:szCs w:val="24"/>
        </w:rPr>
      </w:pPr>
      <w:r>
        <w:rPr>
          <w:rFonts w:cs="Times New Roman"/>
          <w:szCs w:val="24"/>
        </w:rPr>
        <w:t>atsargumo;</w:t>
      </w:r>
    </w:p>
    <w:p w:rsidR="00A004BD" w:rsidRDefault="00A004BD">
      <w:pPr>
        <w:widowControl w:val="0"/>
        <w:numPr>
          <w:ilvl w:val="1"/>
          <w:numId w:val="2"/>
        </w:numPr>
        <w:shd w:val="clear" w:color="auto" w:fill="FFFFFF"/>
        <w:tabs>
          <w:tab w:val="left" w:pos="540"/>
          <w:tab w:val="left" w:pos="1260"/>
        </w:tabs>
        <w:autoSpaceDE w:val="0"/>
        <w:spacing w:line="360" w:lineRule="auto"/>
        <w:ind w:right="96"/>
        <w:rPr>
          <w:rFonts w:cs="Times New Roman"/>
          <w:szCs w:val="24"/>
        </w:rPr>
      </w:pPr>
      <w:r>
        <w:rPr>
          <w:rFonts w:cs="Times New Roman"/>
          <w:szCs w:val="24"/>
        </w:rPr>
        <w:t>neutralumo;</w:t>
      </w:r>
    </w:p>
    <w:p w:rsidR="00A004BD" w:rsidRDefault="00A004BD">
      <w:pPr>
        <w:widowControl w:val="0"/>
        <w:numPr>
          <w:ilvl w:val="1"/>
          <w:numId w:val="2"/>
        </w:numPr>
        <w:shd w:val="clear" w:color="auto" w:fill="FFFFFF"/>
        <w:tabs>
          <w:tab w:val="left" w:pos="540"/>
          <w:tab w:val="left" w:pos="1260"/>
        </w:tabs>
        <w:autoSpaceDE w:val="0"/>
        <w:spacing w:line="360" w:lineRule="auto"/>
        <w:ind w:right="96"/>
        <w:rPr>
          <w:rFonts w:cs="Times New Roman"/>
          <w:szCs w:val="24"/>
        </w:rPr>
      </w:pPr>
      <w:r>
        <w:rPr>
          <w:rFonts w:cs="Times New Roman"/>
          <w:szCs w:val="24"/>
        </w:rPr>
        <w:t>turinio viršenybės prieš formą.</w:t>
      </w:r>
    </w:p>
    <w:p w:rsidR="00A004BD" w:rsidRDefault="00A004BD">
      <w:pPr>
        <w:widowControl w:val="0"/>
        <w:numPr>
          <w:ilvl w:val="0"/>
          <w:numId w:val="2"/>
        </w:numPr>
        <w:shd w:val="clear" w:color="auto" w:fill="FFFFFF"/>
        <w:tabs>
          <w:tab w:val="left" w:pos="1980"/>
        </w:tabs>
        <w:autoSpaceDE w:val="0"/>
        <w:spacing w:line="360" w:lineRule="auto"/>
        <w:jc w:val="both"/>
        <w:rPr>
          <w:rFonts w:cs="Times New Roman"/>
          <w:szCs w:val="24"/>
        </w:rPr>
      </w:pPr>
      <w:r>
        <w:rPr>
          <w:rFonts w:cs="Times New Roman"/>
          <w:szCs w:val="24"/>
        </w:rPr>
        <w:lastRenderedPageBreak/>
        <w:t>l/d „Žilvitis“, sudarydama biudžeto vykdymo ataskaitų rinkinį, vadovaujasi šiais bendraisiais apskaitos principais:</w:t>
      </w:r>
    </w:p>
    <w:p w:rsidR="00A004BD" w:rsidRDefault="00A004BD">
      <w:pPr>
        <w:widowControl w:val="0"/>
        <w:numPr>
          <w:ilvl w:val="1"/>
          <w:numId w:val="2"/>
        </w:numPr>
        <w:shd w:val="clear" w:color="auto" w:fill="FFFFFF"/>
        <w:tabs>
          <w:tab w:val="left" w:pos="540"/>
          <w:tab w:val="left" w:pos="1260"/>
        </w:tabs>
        <w:autoSpaceDE w:val="0"/>
        <w:spacing w:line="360" w:lineRule="auto"/>
        <w:ind w:right="96"/>
        <w:jc w:val="both"/>
        <w:rPr>
          <w:rFonts w:cs="Times New Roman"/>
          <w:szCs w:val="24"/>
        </w:rPr>
      </w:pPr>
      <w:r>
        <w:rPr>
          <w:rFonts w:cs="Times New Roman"/>
          <w:szCs w:val="24"/>
        </w:rPr>
        <w:t>pinigų;</w:t>
      </w:r>
    </w:p>
    <w:p w:rsidR="00A004BD" w:rsidRDefault="00A004BD">
      <w:pPr>
        <w:widowControl w:val="0"/>
        <w:numPr>
          <w:ilvl w:val="1"/>
          <w:numId w:val="2"/>
        </w:numPr>
        <w:shd w:val="clear" w:color="auto" w:fill="FFFFFF"/>
        <w:tabs>
          <w:tab w:val="left" w:pos="540"/>
          <w:tab w:val="left" w:pos="1260"/>
        </w:tabs>
        <w:autoSpaceDE w:val="0"/>
        <w:spacing w:line="360" w:lineRule="auto"/>
        <w:ind w:right="96"/>
        <w:jc w:val="both"/>
        <w:rPr>
          <w:rFonts w:cs="Times New Roman"/>
          <w:szCs w:val="24"/>
        </w:rPr>
      </w:pPr>
      <w:r>
        <w:rPr>
          <w:rFonts w:cs="Times New Roman"/>
          <w:szCs w:val="24"/>
        </w:rPr>
        <w:t>subjekto;</w:t>
      </w:r>
    </w:p>
    <w:p w:rsidR="00A004BD" w:rsidRDefault="00A004BD">
      <w:pPr>
        <w:widowControl w:val="0"/>
        <w:numPr>
          <w:ilvl w:val="1"/>
          <w:numId w:val="2"/>
        </w:numPr>
        <w:shd w:val="clear" w:color="auto" w:fill="FFFFFF"/>
        <w:tabs>
          <w:tab w:val="left" w:pos="540"/>
          <w:tab w:val="left" w:pos="1260"/>
        </w:tabs>
        <w:autoSpaceDE w:val="0"/>
        <w:spacing w:line="360" w:lineRule="auto"/>
        <w:ind w:right="96"/>
        <w:jc w:val="both"/>
        <w:rPr>
          <w:rFonts w:cs="Times New Roman"/>
          <w:szCs w:val="24"/>
        </w:rPr>
      </w:pPr>
      <w:r>
        <w:rPr>
          <w:rFonts w:cs="Times New Roman"/>
          <w:szCs w:val="24"/>
        </w:rPr>
        <w:t>periodiškumo;</w:t>
      </w:r>
    </w:p>
    <w:p w:rsidR="00A004BD" w:rsidRDefault="00A004BD">
      <w:pPr>
        <w:widowControl w:val="0"/>
        <w:numPr>
          <w:ilvl w:val="1"/>
          <w:numId w:val="2"/>
        </w:numPr>
        <w:shd w:val="clear" w:color="auto" w:fill="FFFFFF"/>
        <w:tabs>
          <w:tab w:val="left" w:pos="540"/>
          <w:tab w:val="left" w:pos="1260"/>
        </w:tabs>
        <w:autoSpaceDE w:val="0"/>
        <w:spacing w:line="360" w:lineRule="auto"/>
        <w:ind w:right="96"/>
        <w:jc w:val="both"/>
        <w:rPr>
          <w:rFonts w:cs="Times New Roman"/>
          <w:szCs w:val="24"/>
        </w:rPr>
      </w:pPr>
      <w:r>
        <w:rPr>
          <w:rFonts w:cs="Times New Roman"/>
          <w:szCs w:val="24"/>
        </w:rPr>
        <w:t>pastovumo;</w:t>
      </w:r>
    </w:p>
    <w:p w:rsidR="00A004BD" w:rsidRDefault="00A004BD">
      <w:pPr>
        <w:widowControl w:val="0"/>
        <w:numPr>
          <w:ilvl w:val="1"/>
          <w:numId w:val="2"/>
        </w:numPr>
        <w:shd w:val="clear" w:color="auto" w:fill="FFFFFF"/>
        <w:tabs>
          <w:tab w:val="left" w:pos="540"/>
          <w:tab w:val="left" w:pos="1260"/>
        </w:tabs>
        <w:autoSpaceDE w:val="0"/>
        <w:spacing w:line="360" w:lineRule="auto"/>
        <w:ind w:right="96"/>
        <w:jc w:val="both"/>
      </w:pPr>
      <w:r>
        <w:rPr>
          <w:rFonts w:cs="Times New Roman"/>
          <w:szCs w:val="24"/>
        </w:rPr>
        <w:t>piniginio mato.</w:t>
      </w:r>
    </w:p>
    <w:p w:rsidR="00A004BD" w:rsidRDefault="00A004BD">
      <w:pPr>
        <w:widowControl w:val="0"/>
        <w:numPr>
          <w:ilvl w:val="0"/>
          <w:numId w:val="2"/>
        </w:numPr>
        <w:shd w:val="clear" w:color="auto" w:fill="FFFFFF"/>
        <w:tabs>
          <w:tab w:val="left" w:pos="1980"/>
        </w:tabs>
        <w:autoSpaceDE w:val="0"/>
        <w:spacing w:line="360" w:lineRule="auto"/>
        <w:ind w:right="96"/>
        <w:jc w:val="both"/>
        <w:rPr>
          <w:rFonts w:cs="Times New Roman"/>
          <w:szCs w:val="24"/>
        </w:rPr>
      </w:pPr>
      <w:r>
        <w:t xml:space="preserve"> Lopšelis-darželis „Žilvitis“</w:t>
      </w:r>
      <w:r>
        <w:rPr>
          <w:rFonts w:cs="Times New Roman"/>
          <w:szCs w:val="24"/>
        </w:rPr>
        <w:t xml:space="preserve"> apskaitoje registruojamas tik</w:t>
      </w:r>
      <w:r>
        <w:rPr>
          <w:rFonts w:cs="Times New Roman"/>
          <w:color w:val="FF9900"/>
          <w:szCs w:val="24"/>
        </w:rPr>
        <w:t xml:space="preserve"> </w:t>
      </w:r>
      <w:r>
        <w:rPr>
          <w:rFonts w:cs="Times New Roman"/>
          <w:szCs w:val="24"/>
        </w:rPr>
        <w:t>nuosavas ir jos patikėjimo teise valdomas ir</w:t>
      </w:r>
      <w:r>
        <w:rPr>
          <w:rFonts w:cs="Times New Roman"/>
          <w:color w:val="FF9900"/>
          <w:szCs w:val="24"/>
        </w:rPr>
        <w:t xml:space="preserve"> </w:t>
      </w:r>
      <w:r>
        <w:rPr>
          <w:rFonts w:cs="Times New Roman"/>
          <w:szCs w:val="24"/>
        </w:rPr>
        <w:t xml:space="preserve">naudojamas ir disponuojamas turtas, finansavimo sumos ir įsipareigojimai, pajamos ir sąnaudos. Turtas, valdomas ir naudojamas kitomis teisėmis, registruojamas nebalansinėse sąskaitose.  </w:t>
      </w:r>
    </w:p>
    <w:p w:rsidR="00A004BD" w:rsidRDefault="00A004BD">
      <w:pPr>
        <w:widowControl w:val="0"/>
        <w:numPr>
          <w:ilvl w:val="0"/>
          <w:numId w:val="2"/>
        </w:numPr>
        <w:shd w:val="clear" w:color="auto" w:fill="FFFFFF"/>
        <w:tabs>
          <w:tab w:val="left" w:pos="1980"/>
        </w:tabs>
        <w:autoSpaceDE w:val="0"/>
        <w:spacing w:line="360" w:lineRule="auto"/>
        <w:jc w:val="both"/>
        <w:rPr>
          <w:rFonts w:cs="Times New Roman"/>
          <w:szCs w:val="24"/>
        </w:rPr>
      </w:pPr>
      <w:r>
        <w:rPr>
          <w:rFonts w:cs="Times New Roman"/>
          <w:szCs w:val="24"/>
        </w:rPr>
        <w:t xml:space="preserve">Lopšelis-darželis „Žilvitis“ leidžiamos vykdyti ūkinės operacijos nustatytos teisės aktuose. VSAFAS nustatyti faktiškai įvykusių ūkinių operacijų apskaitos metodai ir taisyklės. Pagal turinio viršenybės prieš formą principą įstaigos apskaitos politikoje ūkiniai įvykiai ir ūkinės operacijos vertinami ir pripažįstami pagal jų ekonominę prasmę ir turinį, nepriklausomai nuo to, ar tokią ūkinę operaciją vykdyti, sandorį sudaryti įstaigoje leidžia jos veiklą reglamentuojantys teisės aktai. </w:t>
      </w:r>
    </w:p>
    <w:p w:rsidR="00A004BD" w:rsidRDefault="00A004BD">
      <w:pPr>
        <w:widowControl w:val="0"/>
        <w:numPr>
          <w:ilvl w:val="0"/>
          <w:numId w:val="2"/>
        </w:numPr>
        <w:shd w:val="clear" w:color="auto" w:fill="FFFFFF"/>
        <w:tabs>
          <w:tab w:val="left" w:pos="1980"/>
        </w:tabs>
        <w:autoSpaceDE w:val="0"/>
        <w:ind w:right="96"/>
        <w:jc w:val="both"/>
      </w:pPr>
      <w:r>
        <w:rPr>
          <w:rFonts w:cs="Times New Roman"/>
          <w:szCs w:val="24"/>
        </w:rPr>
        <w:t>Konkretūs VSAFAS, kurie taikomi apskaitoje bei rengiant finansines ataskaitas, pateikiami 1 lentelėje.</w:t>
      </w:r>
    </w:p>
    <w:p w:rsidR="00A004BD" w:rsidRDefault="00A004BD"/>
    <w:p w:rsidR="00A004BD" w:rsidRDefault="00A004BD">
      <w:pPr>
        <w:rPr>
          <w:rStyle w:val="apple-style-span"/>
          <w:b/>
          <w:sz w:val="22"/>
          <w:szCs w:val="22"/>
        </w:rPr>
      </w:pPr>
      <w:r>
        <w:t>1 lentelė. Taikomi VSAFAS</w:t>
      </w:r>
    </w:p>
    <w:tbl>
      <w:tblPr>
        <w:tblW w:w="0" w:type="auto"/>
        <w:tblInd w:w="108" w:type="dxa"/>
        <w:tblLayout w:type="fixed"/>
        <w:tblLook w:val="0000"/>
      </w:tblPr>
      <w:tblGrid>
        <w:gridCol w:w="7797"/>
        <w:gridCol w:w="1731"/>
      </w:tblGrid>
      <w:tr w:rsidR="00A004BD">
        <w:trPr>
          <w:tblHeader/>
        </w:trPr>
        <w:tc>
          <w:tcPr>
            <w:tcW w:w="7797" w:type="dxa"/>
            <w:tcBorders>
              <w:top w:val="single" w:sz="4" w:space="0" w:color="000000"/>
              <w:left w:val="single" w:sz="4" w:space="0" w:color="000000"/>
              <w:bottom w:val="single" w:sz="4" w:space="0" w:color="000000"/>
            </w:tcBorders>
            <w:shd w:val="clear" w:color="auto" w:fill="BFBFBF"/>
            <w:vAlign w:val="center"/>
          </w:tcPr>
          <w:p w:rsidR="00A004BD" w:rsidRDefault="00A004BD">
            <w:pPr>
              <w:pStyle w:val="Paragrafas1"/>
              <w:jc w:val="center"/>
              <w:rPr>
                <w:rStyle w:val="apple-style-span"/>
                <w:rFonts w:ascii="Times New Roman" w:hAnsi="Times New Roman"/>
                <w:b/>
                <w:sz w:val="22"/>
                <w:szCs w:val="22"/>
              </w:rPr>
            </w:pPr>
            <w:r>
              <w:rPr>
                <w:rStyle w:val="apple-style-span"/>
                <w:rFonts w:ascii="Times New Roman" w:hAnsi="Times New Roman"/>
                <w:b/>
                <w:sz w:val="22"/>
                <w:szCs w:val="22"/>
              </w:rPr>
              <w:t>Viešojo sektoriaus apskaitos ir finansinės atskaitomybės standartas</w:t>
            </w:r>
          </w:p>
        </w:tc>
        <w:tc>
          <w:tcPr>
            <w:tcW w:w="173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004BD" w:rsidRDefault="00A004BD">
            <w:pPr>
              <w:pStyle w:val="Paragrafas1"/>
              <w:jc w:val="center"/>
              <w:rPr>
                <w:rFonts w:ascii="Times New Roman" w:hAnsi="Times New Roman" w:cs="Times New Roman"/>
                <w:b/>
                <w:sz w:val="22"/>
                <w:szCs w:val="22"/>
              </w:rPr>
            </w:pPr>
            <w:r>
              <w:rPr>
                <w:rStyle w:val="apple-style-span"/>
                <w:rFonts w:ascii="Times New Roman" w:hAnsi="Times New Roman"/>
                <w:b/>
                <w:sz w:val="22"/>
                <w:szCs w:val="22"/>
              </w:rPr>
              <w:t>Taikoma (+)/</w:t>
            </w:r>
          </w:p>
          <w:p w:rsidR="00A004BD" w:rsidRDefault="00A004BD">
            <w:pPr>
              <w:pStyle w:val="Paragrafas1"/>
              <w:jc w:val="center"/>
            </w:pPr>
            <w:r>
              <w:rPr>
                <w:rFonts w:ascii="Times New Roman" w:hAnsi="Times New Roman" w:cs="Times New Roman"/>
                <w:b/>
                <w:sz w:val="22"/>
                <w:szCs w:val="22"/>
              </w:rPr>
              <w:t>netaikoma (-)</w:t>
            </w:r>
          </w:p>
        </w:tc>
      </w:tr>
      <w:tr w:rsidR="00A004BD">
        <w:tc>
          <w:tcPr>
            <w:tcW w:w="7797" w:type="dxa"/>
            <w:tcBorders>
              <w:top w:val="single" w:sz="4" w:space="0" w:color="000000"/>
              <w:left w:val="single" w:sz="4" w:space="0" w:color="000000"/>
              <w:bottom w:val="single" w:sz="4" w:space="0" w:color="000000"/>
            </w:tcBorders>
            <w:shd w:val="clear" w:color="auto" w:fill="auto"/>
          </w:tcPr>
          <w:p w:rsidR="00A004BD" w:rsidRDefault="00A004BD">
            <w:pPr>
              <w:spacing w:before="40" w:after="40"/>
              <w:rPr>
                <w:rStyle w:val="apple-style-span"/>
                <w:b/>
                <w:sz w:val="22"/>
                <w:szCs w:val="22"/>
              </w:rPr>
            </w:pPr>
            <w:r>
              <w:rPr>
                <w:rStyle w:val="apple-style-span"/>
                <w:b/>
                <w:sz w:val="22"/>
                <w:szCs w:val="22"/>
              </w:rPr>
              <w:t>1 VSAFAS – „Informacijos pateikimas finansinių ataskaitų rinkinyje“</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04BD" w:rsidRDefault="00A004BD">
            <w:pPr>
              <w:jc w:val="center"/>
            </w:pPr>
            <w:r>
              <w:rPr>
                <w:rStyle w:val="apple-style-span"/>
                <w:b/>
                <w:sz w:val="22"/>
                <w:szCs w:val="22"/>
              </w:rPr>
              <w:t>+</w:t>
            </w:r>
          </w:p>
        </w:tc>
      </w:tr>
      <w:tr w:rsidR="00A004BD">
        <w:tc>
          <w:tcPr>
            <w:tcW w:w="7797" w:type="dxa"/>
            <w:tcBorders>
              <w:top w:val="single" w:sz="4" w:space="0" w:color="000000"/>
              <w:left w:val="single" w:sz="4" w:space="0" w:color="000000"/>
              <w:bottom w:val="single" w:sz="4" w:space="0" w:color="000000"/>
            </w:tcBorders>
            <w:shd w:val="clear" w:color="auto" w:fill="auto"/>
          </w:tcPr>
          <w:p w:rsidR="00A004BD" w:rsidRDefault="00A004BD">
            <w:pPr>
              <w:spacing w:before="40" w:after="40"/>
              <w:rPr>
                <w:rStyle w:val="apple-style-span"/>
                <w:b/>
                <w:sz w:val="22"/>
                <w:szCs w:val="22"/>
              </w:rPr>
            </w:pPr>
            <w:r>
              <w:rPr>
                <w:rStyle w:val="apple-style-span"/>
                <w:b/>
                <w:sz w:val="22"/>
                <w:szCs w:val="22"/>
              </w:rPr>
              <w:t>2 VSAFAS – „Finansinės būklės ataskaita“ </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04BD" w:rsidRDefault="00A004BD">
            <w:pPr>
              <w:jc w:val="center"/>
            </w:pPr>
            <w:r>
              <w:rPr>
                <w:rStyle w:val="apple-style-span"/>
                <w:b/>
                <w:sz w:val="22"/>
                <w:szCs w:val="22"/>
              </w:rPr>
              <w:t>+</w:t>
            </w:r>
          </w:p>
        </w:tc>
      </w:tr>
      <w:tr w:rsidR="00A004BD">
        <w:tc>
          <w:tcPr>
            <w:tcW w:w="7797" w:type="dxa"/>
            <w:tcBorders>
              <w:top w:val="single" w:sz="4" w:space="0" w:color="000000"/>
              <w:left w:val="single" w:sz="4" w:space="0" w:color="000000"/>
              <w:bottom w:val="single" w:sz="4" w:space="0" w:color="000000"/>
            </w:tcBorders>
            <w:shd w:val="clear" w:color="auto" w:fill="auto"/>
          </w:tcPr>
          <w:p w:rsidR="00A004BD" w:rsidRDefault="00A004BD">
            <w:pPr>
              <w:spacing w:before="40" w:after="40"/>
              <w:rPr>
                <w:rStyle w:val="apple-style-span"/>
                <w:b/>
                <w:sz w:val="22"/>
                <w:szCs w:val="22"/>
              </w:rPr>
            </w:pPr>
            <w:r>
              <w:rPr>
                <w:rStyle w:val="apple-style-span"/>
                <w:b/>
                <w:sz w:val="22"/>
                <w:szCs w:val="22"/>
              </w:rPr>
              <w:t>3 VSAFAS – „Veiklos rezultatų ataskaita“</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04BD" w:rsidRDefault="00A004BD">
            <w:pPr>
              <w:jc w:val="center"/>
            </w:pPr>
            <w:r>
              <w:rPr>
                <w:rStyle w:val="apple-style-span"/>
                <w:b/>
                <w:sz w:val="22"/>
                <w:szCs w:val="22"/>
              </w:rPr>
              <w:t>+</w:t>
            </w:r>
          </w:p>
        </w:tc>
      </w:tr>
      <w:tr w:rsidR="00A004BD">
        <w:tc>
          <w:tcPr>
            <w:tcW w:w="7797" w:type="dxa"/>
            <w:tcBorders>
              <w:top w:val="single" w:sz="4" w:space="0" w:color="000000"/>
              <w:left w:val="single" w:sz="4" w:space="0" w:color="000000"/>
              <w:bottom w:val="single" w:sz="4" w:space="0" w:color="000000"/>
            </w:tcBorders>
            <w:shd w:val="clear" w:color="auto" w:fill="auto"/>
          </w:tcPr>
          <w:p w:rsidR="00A004BD" w:rsidRDefault="00A004BD">
            <w:pPr>
              <w:spacing w:before="40" w:after="40"/>
              <w:rPr>
                <w:rStyle w:val="apple-style-span"/>
                <w:b/>
                <w:sz w:val="22"/>
                <w:szCs w:val="22"/>
              </w:rPr>
            </w:pPr>
            <w:r>
              <w:rPr>
                <w:rStyle w:val="apple-style-span"/>
                <w:b/>
                <w:sz w:val="22"/>
                <w:szCs w:val="22"/>
              </w:rPr>
              <w:t>4 VSAFAS – „Grynojo turto pokyčių ataskaita“</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04BD" w:rsidRDefault="00A004BD">
            <w:pPr>
              <w:jc w:val="center"/>
            </w:pPr>
            <w:r>
              <w:rPr>
                <w:rStyle w:val="apple-style-span"/>
                <w:b/>
                <w:sz w:val="22"/>
                <w:szCs w:val="22"/>
              </w:rPr>
              <w:t>+</w:t>
            </w:r>
          </w:p>
        </w:tc>
      </w:tr>
      <w:tr w:rsidR="00A004BD">
        <w:tc>
          <w:tcPr>
            <w:tcW w:w="7797" w:type="dxa"/>
            <w:tcBorders>
              <w:top w:val="single" w:sz="4" w:space="0" w:color="000000"/>
              <w:left w:val="single" w:sz="4" w:space="0" w:color="000000"/>
              <w:bottom w:val="single" w:sz="4" w:space="0" w:color="000000"/>
            </w:tcBorders>
            <w:shd w:val="clear" w:color="auto" w:fill="auto"/>
          </w:tcPr>
          <w:p w:rsidR="00A004BD" w:rsidRDefault="00A004BD">
            <w:pPr>
              <w:spacing w:before="40" w:after="40"/>
              <w:rPr>
                <w:rStyle w:val="apple-style-span"/>
                <w:b/>
                <w:sz w:val="22"/>
                <w:szCs w:val="22"/>
              </w:rPr>
            </w:pPr>
            <w:r>
              <w:rPr>
                <w:rStyle w:val="apple-style-span"/>
                <w:b/>
                <w:sz w:val="22"/>
                <w:szCs w:val="22"/>
              </w:rPr>
              <w:t>5 VSAFAS – „Pinigų srautų ataskaita“</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04BD" w:rsidRDefault="00A004BD">
            <w:pPr>
              <w:jc w:val="center"/>
            </w:pPr>
            <w:r>
              <w:rPr>
                <w:rStyle w:val="apple-style-span"/>
                <w:b/>
                <w:sz w:val="22"/>
                <w:szCs w:val="22"/>
              </w:rPr>
              <w:t>+</w:t>
            </w:r>
          </w:p>
        </w:tc>
      </w:tr>
      <w:tr w:rsidR="00A004BD">
        <w:tc>
          <w:tcPr>
            <w:tcW w:w="7797" w:type="dxa"/>
            <w:tcBorders>
              <w:top w:val="single" w:sz="4" w:space="0" w:color="000000"/>
              <w:left w:val="single" w:sz="4" w:space="0" w:color="000000"/>
              <w:bottom w:val="single" w:sz="4" w:space="0" w:color="000000"/>
            </w:tcBorders>
            <w:shd w:val="clear" w:color="auto" w:fill="auto"/>
          </w:tcPr>
          <w:p w:rsidR="00A004BD" w:rsidRDefault="00A004BD">
            <w:pPr>
              <w:spacing w:before="40" w:after="40"/>
              <w:rPr>
                <w:rStyle w:val="apple-style-span"/>
                <w:b/>
                <w:sz w:val="22"/>
                <w:szCs w:val="22"/>
              </w:rPr>
            </w:pPr>
            <w:r>
              <w:rPr>
                <w:rStyle w:val="apple-style-span"/>
                <w:b/>
                <w:sz w:val="22"/>
                <w:szCs w:val="22"/>
              </w:rPr>
              <w:t>6 VSAFAS – „Finansinių ataskaitų aiškinamasis raštas“ </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04BD" w:rsidRDefault="00A004BD">
            <w:pPr>
              <w:jc w:val="center"/>
            </w:pPr>
            <w:r>
              <w:rPr>
                <w:rStyle w:val="apple-style-span"/>
                <w:b/>
                <w:sz w:val="22"/>
                <w:szCs w:val="22"/>
              </w:rPr>
              <w:t>+</w:t>
            </w:r>
          </w:p>
        </w:tc>
      </w:tr>
      <w:tr w:rsidR="00A004BD">
        <w:tc>
          <w:tcPr>
            <w:tcW w:w="7797" w:type="dxa"/>
            <w:tcBorders>
              <w:top w:val="single" w:sz="4" w:space="0" w:color="000000"/>
              <w:left w:val="single" w:sz="4" w:space="0" w:color="000000"/>
              <w:bottom w:val="single" w:sz="4" w:space="0" w:color="000000"/>
            </w:tcBorders>
            <w:shd w:val="clear" w:color="auto" w:fill="auto"/>
          </w:tcPr>
          <w:p w:rsidR="00A004BD" w:rsidRDefault="00A004BD">
            <w:pPr>
              <w:spacing w:before="40" w:after="40"/>
              <w:rPr>
                <w:rStyle w:val="apple-style-span"/>
                <w:b/>
                <w:sz w:val="22"/>
                <w:szCs w:val="22"/>
              </w:rPr>
            </w:pPr>
            <w:r>
              <w:rPr>
                <w:rStyle w:val="apple-style-span"/>
                <w:b/>
                <w:sz w:val="22"/>
                <w:szCs w:val="22"/>
              </w:rPr>
              <w:t>7 VSAFAS – „Apskaitos politikos, apskaitinių įverčių keitimas ir klaidų taisymas“</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04BD" w:rsidRDefault="00A004BD">
            <w:pPr>
              <w:jc w:val="center"/>
            </w:pPr>
            <w:r>
              <w:rPr>
                <w:rStyle w:val="apple-style-span"/>
                <w:b/>
                <w:sz w:val="22"/>
                <w:szCs w:val="22"/>
              </w:rPr>
              <w:t>+</w:t>
            </w:r>
          </w:p>
        </w:tc>
      </w:tr>
      <w:tr w:rsidR="00A004BD">
        <w:tc>
          <w:tcPr>
            <w:tcW w:w="7797" w:type="dxa"/>
            <w:tcBorders>
              <w:top w:val="single" w:sz="4" w:space="0" w:color="000000"/>
              <w:left w:val="single" w:sz="4" w:space="0" w:color="000000"/>
              <w:bottom w:val="single" w:sz="4" w:space="0" w:color="000000"/>
            </w:tcBorders>
            <w:shd w:val="clear" w:color="auto" w:fill="auto"/>
          </w:tcPr>
          <w:p w:rsidR="00A004BD" w:rsidRDefault="00A004BD">
            <w:pPr>
              <w:spacing w:before="40" w:after="40"/>
              <w:rPr>
                <w:rStyle w:val="apple-style-span"/>
                <w:b/>
                <w:sz w:val="22"/>
                <w:szCs w:val="22"/>
              </w:rPr>
            </w:pPr>
            <w:r>
              <w:rPr>
                <w:rStyle w:val="apple-style-span"/>
                <w:b/>
                <w:sz w:val="22"/>
                <w:szCs w:val="22"/>
              </w:rPr>
              <w:t>8 VSAFAS – „Atsargos“</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04BD" w:rsidRDefault="00A004BD">
            <w:pPr>
              <w:jc w:val="center"/>
            </w:pPr>
            <w:r>
              <w:rPr>
                <w:rStyle w:val="apple-style-span"/>
                <w:b/>
                <w:sz w:val="22"/>
                <w:szCs w:val="22"/>
              </w:rPr>
              <w:t>+</w:t>
            </w:r>
          </w:p>
        </w:tc>
      </w:tr>
      <w:tr w:rsidR="00A004BD">
        <w:tc>
          <w:tcPr>
            <w:tcW w:w="7797" w:type="dxa"/>
            <w:tcBorders>
              <w:top w:val="single" w:sz="4" w:space="0" w:color="000000"/>
              <w:left w:val="single" w:sz="4" w:space="0" w:color="000000"/>
              <w:bottom w:val="single" w:sz="4" w:space="0" w:color="000000"/>
            </w:tcBorders>
            <w:shd w:val="clear" w:color="auto" w:fill="auto"/>
          </w:tcPr>
          <w:p w:rsidR="00A004BD" w:rsidRDefault="00A004BD">
            <w:pPr>
              <w:spacing w:before="40" w:after="40"/>
              <w:rPr>
                <w:rStyle w:val="apple-style-span"/>
                <w:b/>
                <w:sz w:val="22"/>
                <w:szCs w:val="22"/>
              </w:rPr>
            </w:pPr>
            <w:r>
              <w:rPr>
                <w:rStyle w:val="apple-style-span"/>
                <w:b/>
                <w:sz w:val="22"/>
                <w:szCs w:val="22"/>
              </w:rPr>
              <w:t>9 VSAFAS – „Mokesčių ir socialinių įmokų pajamos“ </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04BD" w:rsidRDefault="00A004BD">
            <w:pPr>
              <w:jc w:val="center"/>
            </w:pPr>
            <w:r>
              <w:rPr>
                <w:rStyle w:val="apple-style-span"/>
                <w:b/>
                <w:sz w:val="22"/>
                <w:szCs w:val="22"/>
              </w:rPr>
              <w:t>-</w:t>
            </w:r>
          </w:p>
        </w:tc>
      </w:tr>
      <w:tr w:rsidR="00A004BD">
        <w:tc>
          <w:tcPr>
            <w:tcW w:w="7797" w:type="dxa"/>
            <w:tcBorders>
              <w:top w:val="single" w:sz="4" w:space="0" w:color="000000"/>
              <w:left w:val="single" w:sz="4" w:space="0" w:color="000000"/>
              <w:bottom w:val="single" w:sz="4" w:space="0" w:color="000000"/>
            </w:tcBorders>
            <w:shd w:val="clear" w:color="auto" w:fill="auto"/>
          </w:tcPr>
          <w:p w:rsidR="00A004BD" w:rsidRDefault="00A004BD">
            <w:pPr>
              <w:spacing w:before="40" w:after="40"/>
              <w:rPr>
                <w:rStyle w:val="apple-style-span"/>
                <w:b/>
                <w:sz w:val="22"/>
                <w:szCs w:val="22"/>
              </w:rPr>
            </w:pPr>
            <w:r>
              <w:rPr>
                <w:rStyle w:val="apple-style-span"/>
                <w:b/>
                <w:sz w:val="22"/>
                <w:szCs w:val="22"/>
              </w:rPr>
              <w:t>10 VSAFAS – „Kitos pajamos“</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04BD" w:rsidRDefault="00A004BD">
            <w:pPr>
              <w:jc w:val="center"/>
            </w:pPr>
            <w:r>
              <w:rPr>
                <w:rStyle w:val="apple-style-span"/>
                <w:b/>
                <w:sz w:val="22"/>
                <w:szCs w:val="22"/>
              </w:rPr>
              <w:t>+</w:t>
            </w:r>
          </w:p>
        </w:tc>
      </w:tr>
      <w:tr w:rsidR="00A004BD">
        <w:tc>
          <w:tcPr>
            <w:tcW w:w="7797" w:type="dxa"/>
            <w:tcBorders>
              <w:top w:val="single" w:sz="4" w:space="0" w:color="000000"/>
              <w:left w:val="single" w:sz="4" w:space="0" w:color="000000"/>
              <w:bottom w:val="single" w:sz="4" w:space="0" w:color="000000"/>
            </w:tcBorders>
            <w:shd w:val="clear" w:color="auto" w:fill="auto"/>
          </w:tcPr>
          <w:p w:rsidR="00A004BD" w:rsidRDefault="00A004BD">
            <w:pPr>
              <w:spacing w:before="40" w:after="40"/>
              <w:rPr>
                <w:rStyle w:val="apple-style-span"/>
                <w:b/>
                <w:sz w:val="22"/>
                <w:szCs w:val="22"/>
              </w:rPr>
            </w:pPr>
            <w:r>
              <w:rPr>
                <w:rStyle w:val="apple-style-span"/>
                <w:b/>
                <w:sz w:val="22"/>
                <w:szCs w:val="22"/>
              </w:rPr>
              <w:t>11 VSAFAS – „Sąnaudos“</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04BD" w:rsidRDefault="00A004BD">
            <w:pPr>
              <w:jc w:val="center"/>
            </w:pPr>
            <w:r>
              <w:rPr>
                <w:rStyle w:val="apple-style-span"/>
                <w:b/>
                <w:sz w:val="22"/>
                <w:szCs w:val="22"/>
              </w:rPr>
              <w:t>+</w:t>
            </w:r>
          </w:p>
        </w:tc>
      </w:tr>
      <w:tr w:rsidR="00A004BD">
        <w:tc>
          <w:tcPr>
            <w:tcW w:w="7797" w:type="dxa"/>
            <w:tcBorders>
              <w:top w:val="single" w:sz="4" w:space="0" w:color="000000"/>
              <w:left w:val="single" w:sz="4" w:space="0" w:color="000000"/>
              <w:bottom w:val="single" w:sz="4" w:space="0" w:color="000000"/>
            </w:tcBorders>
            <w:shd w:val="clear" w:color="auto" w:fill="auto"/>
          </w:tcPr>
          <w:p w:rsidR="00A004BD" w:rsidRDefault="00A004BD">
            <w:pPr>
              <w:spacing w:before="40" w:after="40"/>
              <w:rPr>
                <w:rStyle w:val="apple-style-span"/>
                <w:b/>
                <w:sz w:val="22"/>
                <w:szCs w:val="22"/>
              </w:rPr>
            </w:pPr>
            <w:r>
              <w:rPr>
                <w:rStyle w:val="apple-style-span"/>
                <w:b/>
                <w:sz w:val="22"/>
                <w:szCs w:val="22"/>
              </w:rPr>
              <w:t>12 VSAFAS – „Ilgalaikis materialusis turtas“ </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04BD" w:rsidRDefault="00A004BD">
            <w:pPr>
              <w:jc w:val="center"/>
            </w:pPr>
            <w:r>
              <w:rPr>
                <w:rStyle w:val="apple-style-span"/>
                <w:b/>
                <w:sz w:val="22"/>
                <w:szCs w:val="22"/>
              </w:rPr>
              <w:t>+</w:t>
            </w:r>
          </w:p>
        </w:tc>
      </w:tr>
      <w:tr w:rsidR="00A004BD">
        <w:tc>
          <w:tcPr>
            <w:tcW w:w="7797" w:type="dxa"/>
            <w:tcBorders>
              <w:top w:val="single" w:sz="4" w:space="0" w:color="000000"/>
              <w:left w:val="single" w:sz="4" w:space="0" w:color="000000"/>
              <w:bottom w:val="single" w:sz="4" w:space="0" w:color="000000"/>
            </w:tcBorders>
            <w:shd w:val="clear" w:color="auto" w:fill="auto"/>
          </w:tcPr>
          <w:p w:rsidR="00A004BD" w:rsidRDefault="00A004BD">
            <w:pPr>
              <w:spacing w:before="40" w:after="40"/>
              <w:rPr>
                <w:rStyle w:val="apple-style-span"/>
                <w:b/>
                <w:sz w:val="22"/>
                <w:szCs w:val="22"/>
              </w:rPr>
            </w:pPr>
            <w:r>
              <w:rPr>
                <w:rStyle w:val="apple-style-span"/>
                <w:b/>
                <w:sz w:val="22"/>
                <w:szCs w:val="22"/>
              </w:rPr>
              <w:t>13 VSAFAS – „Nematerialusis turtas“ </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04BD" w:rsidRDefault="00A004BD">
            <w:pPr>
              <w:jc w:val="center"/>
            </w:pPr>
            <w:r>
              <w:rPr>
                <w:rStyle w:val="apple-style-span"/>
                <w:b/>
                <w:sz w:val="22"/>
                <w:szCs w:val="22"/>
              </w:rPr>
              <w:t>+</w:t>
            </w:r>
          </w:p>
        </w:tc>
      </w:tr>
      <w:tr w:rsidR="00A004BD">
        <w:tc>
          <w:tcPr>
            <w:tcW w:w="7797" w:type="dxa"/>
            <w:tcBorders>
              <w:top w:val="single" w:sz="4" w:space="0" w:color="000000"/>
              <w:left w:val="single" w:sz="4" w:space="0" w:color="000000"/>
              <w:bottom w:val="single" w:sz="4" w:space="0" w:color="000000"/>
            </w:tcBorders>
            <w:shd w:val="clear" w:color="auto" w:fill="auto"/>
          </w:tcPr>
          <w:p w:rsidR="00A004BD" w:rsidRDefault="00A004BD">
            <w:pPr>
              <w:spacing w:before="40" w:after="40"/>
              <w:rPr>
                <w:rStyle w:val="apple-style-span"/>
                <w:b/>
                <w:sz w:val="22"/>
                <w:szCs w:val="22"/>
              </w:rPr>
            </w:pPr>
            <w:r>
              <w:rPr>
                <w:rStyle w:val="apple-style-span"/>
                <w:b/>
                <w:sz w:val="22"/>
                <w:szCs w:val="22"/>
              </w:rPr>
              <w:t>14 VSAFAS – „Jungimai ir investicijos į asocijuotuosius subjektus“</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04BD" w:rsidRDefault="00A004BD">
            <w:pPr>
              <w:jc w:val="center"/>
            </w:pPr>
            <w:r>
              <w:rPr>
                <w:rStyle w:val="apple-style-span"/>
                <w:b/>
                <w:sz w:val="22"/>
                <w:szCs w:val="22"/>
              </w:rPr>
              <w:t>-</w:t>
            </w:r>
          </w:p>
        </w:tc>
      </w:tr>
      <w:tr w:rsidR="00A004BD">
        <w:tc>
          <w:tcPr>
            <w:tcW w:w="7797" w:type="dxa"/>
            <w:tcBorders>
              <w:top w:val="single" w:sz="4" w:space="0" w:color="000000"/>
              <w:left w:val="single" w:sz="4" w:space="0" w:color="000000"/>
              <w:bottom w:val="single" w:sz="4" w:space="0" w:color="000000"/>
            </w:tcBorders>
            <w:shd w:val="clear" w:color="auto" w:fill="auto"/>
          </w:tcPr>
          <w:p w:rsidR="00A004BD" w:rsidRDefault="00A004BD">
            <w:pPr>
              <w:spacing w:before="40" w:after="40"/>
              <w:rPr>
                <w:rStyle w:val="apple-style-span"/>
                <w:b/>
                <w:sz w:val="22"/>
                <w:szCs w:val="22"/>
              </w:rPr>
            </w:pPr>
            <w:r>
              <w:rPr>
                <w:rStyle w:val="apple-style-span"/>
                <w:b/>
                <w:sz w:val="22"/>
                <w:szCs w:val="22"/>
              </w:rPr>
              <w:t>15 VSAFAS – „Konsoliduotųjų finansinių ataskaitų rinkinys ir investicijos į kontroliuojamus subjektus“</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04BD" w:rsidRDefault="00A004BD">
            <w:pPr>
              <w:jc w:val="center"/>
            </w:pPr>
            <w:r>
              <w:rPr>
                <w:rStyle w:val="apple-style-span"/>
                <w:b/>
                <w:sz w:val="22"/>
                <w:szCs w:val="22"/>
              </w:rPr>
              <w:t>-</w:t>
            </w:r>
          </w:p>
        </w:tc>
      </w:tr>
      <w:tr w:rsidR="00A004BD">
        <w:tc>
          <w:tcPr>
            <w:tcW w:w="7797" w:type="dxa"/>
            <w:tcBorders>
              <w:top w:val="single" w:sz="4" w:space="0" w:color="000000"/>
              <w:left w:val="single" w:sz="4" w:space="0" w:color="000000"/>
              <w:bottom w:val="single" w:sz="4" w:space="0" w:color="000000"/>
            </w:tcBorders>
            <w:shd w:val="clear" w:color="auto" w:fill="auto"/>
          </w:tcPr>
          <w:p w:rsidR="00A004BD" w:rsidRDefault="00A004BD">
            <w:pPr>
              <w:spacing w:before="40" w:after="40"/>
              <w:rPr>
                <w:rStyle w:val="apple-style-span"/>
                <w:b/>
                <w:sz w:val="22"/>
                <w:szCs w:val="22"/>
                <w:lang w:val="en-US"/>
              </w:rPr>
            </w:pPr>
            <w:r>
              <w:rPr>
                <w:rStyle w:val="apple-style-span"/>
                <w:b/>
                <w:sz w:val="22"/>
                <w:szCs w:val="22"/>
              </w:rPr>
              <w:t>16 VSAFAS – „Biologinis turtas ir mineraliniai ištekliai“</w:t>
            </w:r>
            <w:r>
              <w:rPr>
                <w:rStyle w:val="apple-converted-space"/>
                <w:rFonts w:cs="Arial"/>
                <w:b/>
                <w:sz w:val="22"/>
                <w:szCs w:val="22"/>
              </w:rPr>
              <w:t> </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04BD" w:rsidRDefault="00A004BD">
            <w:pPr>
              <w:jc w:val="center"/>
            </w:pPr>
            <w:r>
              <w:rPr>
                <w:rStyle w:val="apple-style-span"/>
                <w:b/>
                <w:sz w:val="22"/>
                <w:szCs w:val="22"/>
                <w:lang w:val="en-US"/>
              </w:rPr>
              <w:t>-</w:t>
            </w:r>
          </w:p>
        </w:tc>
      </w:tr>
      <w:tr w:rsidR="00A004BD">
        <w:tc>
          <w:tcPr>
            <w:tcW w:w="7797" w:type="dxa"/>
            <w:tcBorders>
              <w:top w:val="single" w:sz="4" w:space="0" w:color="000000"/>
              <w:left w:val="single" w:sz="4" w:space="0" w:color="000000"/>
              <w:bottom w:val="single" w:sz="4" w:space="0" w:color="000000"/>
            </w:tcBorders>
            <w:shd w:val="clear" w:color="auto" w:fill="auto"/>
          </w:tcPr>
          <w:p w:rsidR="00A004BD" w:rsidRDefault="00A004BD">
            <w:pPr>
              <w:spacing w:before="40" w:after="40"/>
              <w:rPr>
                <w:rStyle w:val="apple-style-span"/>
                <w:b/>
                <w:sz w:val="22"/>
                <w:szCs w:val="22"/>
              </w:rPr>
            </w:pPr>
            <w:r>
              <w:rPr>
                <w:rStyle w:val="apple-style-span"/>
                <w:b/>
                <w:sz w:val="22"/>
                <w:szCs w:val="22"/>
              </w:rPr>
              <w:lastRenderedPageBreak/>
              <w:t>17 VSAFAS – „Finansinis turtas ir finansiniai įsipareigojimai“</w:t>
            </w:r>
            <w:r>
              <w:rPr>
                <w:rStyle w:val="apple-converted-space"/>
                <w:rFonts w:cs="Arial"/>
                <w:b/>
                <w:sz w:val="22"/>
                <w:szCs w:val="22"/>
              </w:rPr>
              <w:t> </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04BD" w:rsidRDefault="00A004BD">
            <w:pPr>
              <w:jc w:val="center"/>
            </w:pPr>
            <w:r>
              <w:rPr>
                <w:rStyle w:val="apple-style-span"/>
                <w:b/>
                <w:sz w:val="22"/>
                <w:szCs w:val="22"/>
              </w:rPr>
              <w:t>+</w:t>
            </w:r>
          </w:p>
        </w:tc>
      </w:tr>
      <w:tr w:rsidR="00A004BD">
        <w:tc>
          <w:tcPr>
            <w:tcW w:w="7797" w:type="dxa"/>
            <w:tcBorders>
              <w:top w:val="single" w:sz="4" w:space="0" w:color="000000"/>
              <w:left w:val="single" w:sz="4" w:space="0" w:color="000000"/>
              <w:bottom w:val="single" w:sz="4" w:space="0" w:color="000000"/>
            </w:tcBorders>
            <w:shd w:val="clear" w:color="auto" w:fill="auto"/>
          </w:tcPr>
          <w:p w:rsidR="00A004BD" w:rsidRDefault="00A004BD">
            <w:pPr>
              <w:spacing w:before="40" w:after="40"/>
              <w:rPr>
                <w:rStyle w:val="apple-style-span"/>
                <w:b/>
                <w:sz w:val="22"/>
                <w:szCs w:val="22"/>
              </w:rPr>
            </w:pPr>
            <w:r>
              <w:rPr>
                <w:rStyle w:val="apple-style-span"/>
                <w:b/>
                <w:sz w:val="22"/>
                <w:szCs w:val="22"/>
              </w:rPr>
              <w:t>18 VSAFAS – „Atidėjiniai, neapibrėžtieji įsipareigojimai, neapibrėžtasis turtas ir poataskaitiniai įvykiai“</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04BD" w:rsidRDefault="00A004BD">
            <w:pPr>
              <w:jc w:val="center"/>
            </w:pPr>
            <w:r>
              <w:rPr>
                <w:rStyle w:val="apple-style-span"/>
                <w:b/>
                <w:sz w:val="22"/>
                <w:szCs w:val="22"/>
              </w:rPr>
              <w:t>+</w:t>
            </w:r>
          </w:p>
        </w:tc>
      </w:tr>
      <w:tr w:rsidR="00A004BD">
        <w:tc>
          <w:tcPr>
            <w:tcW w:w="7797" w:type="dxa"/>
            <w:tcBorders>
              <w:top w:val="single" w:sz="4" w:space="0" w:color="000000"/>
              <w:left w:val="single" w:sz="4" w:space="0" w:color="000000"/>
              <w:bottom w:val="single" w:sz="4" w:space="0" w:color="000000"/>
            </w:tcBorders>
            <w:shd w:val="clear" w:color="auto" w:fill="auto"/>
          </w:tcPr>
          <w:p w:rsidR="00A004BD" w:rsidRDefault="00A004BD">
            <w:pPr>
              <w:spacing w:before="40" w:after="40"/>
              <w:rPr>
                <w:rStyle w:val="apple-style-span"/>
                <w:b/>
                <w:sz w:val="22"/>
                <w:szCs w:val="22"/>
              </w:rPr>
            </w:pPr>
            <w:r>
              <w:rPr>
                <w:rStyle w:val="apple-style-span"/>
                <w:b/>
                <w:sz w:val="22"/>
                <w:szCs w:val="22"/>
              </w:rPr>
              <w:t>19 VSAFAS „Nuoma, finansinė nuoma (lizingas) ir kitos turto perdavimo sutartys“</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04BD" w:rsidRDefault="00A004BD">
            <w:pPr>
              <w:jc w:val="center"/>
            </w:pPr>
            <w:r>
              <w:rPr>
                <w:rStyle w:val="apple-style-span"/>
                <w:b/>
                <w:sz w:val="22"/>
                <w:szCs w:val="22"/>
              </w:rPr>
              <w:t>+</w:t>
            </w:r>
          </w:p>
        </w:tc>
      </w:tr>
      <w:tr w:rsidR="00A004BD">
        <w:tc>
          <w:tcPr>
            <w:tcW w:w="7797" w:type="dxa"/>
            <w:tcBorders>
              <w:top w:val="single" w:sz="4" w:space="0" w:color="000000"/>
              <w:left w:val="single" w:sz="4" w:space="0" w:color="000000"/>
              <w:bottom w:val="single" w:sz="4" w:space="0" w:color="000000"/>
            </w:tcBorders>
            <w:shd w:val="clear" w:color="auto" w:fill="auto"/>
          </w:tcPr>
          <w:p w:rsidR="00A004BD" w:rsidRDefault="00A004BD">
            <w:pPr>
              <w:spacing w:before="40" w:after="40"/>
              <w:rPr>
                <w:rStyle w:val="apple-style-span"/>
                <w:b/>
                <w:sz w:val="22"/>
                <w:szCs w:val="22"/>
              </w:rPr>
            </w:pPr>
            <w:r>
              <w:rPr>
                <w:rStyle w:val="apple-style-span"/>
                <w:b/>
                <w:sz w:val="22"/>
                <w:szCs w:val="22"/>
              </w:rPr>
              <w:t>20 VSAFAS „Finansavimo sumos“</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04BD" w:rsidRDefault="00A004BD">
            <w:pPr>
              <w:jc w:val="center"/>
            </w:pPr>
            <w:r>
              <w:rPr>
                <w:rStyle w:val="apple-style-span"/>
                <w:b/>
                <w:sz w:val="22"/>
                <w:szCs w:val="22"/>
              </w:rPr>
              <w:t>+</w:t>
            </w:r>
          </w:p>
        </w:tc>
      </w:tr>
      <w:tr w:rsidR="00A004BD">
        <w:tc>
          <w:tcPr>
            <w:tcW w:w="7797" w:type="dxa"/>
            <w:tcBorders>
              <w:top w:val="single" w:sz="4" w:space="0" w:color="000000"/>
              <w:left w:val="single" w:sz="4" w:space="0" w:color="000000"/>
              <w:bottom w:val="single" w:sz="4" w:space="0" w:color="000000"/>
            </w:tcBorders>
            <w:shd w:val="clear" w:color="auto" w:fill="auto"/>
          </w:tcPr>
          <w:p w:rsidR="00A004BD" w:rsidRDefault="00A004BD">
            <w:pPr>
              <w:spacing w:before="40" w:after="40"/>
              <w:rPr>
                <w:rStyle w:val="apple-style-span"/>
                <w:b/>
                <w:sz w:val="22"/>
                <w:szCs w:val="22"/>
              </w:rPr>
            </w:pPr>
            <w:r>
              <w:rPr>
                <w:rStyle w:val="apple-style-span"/>
                <w:b/>
                <w:sz w:val="22"/>
                <w:szCs w:val="22"/>
              </w:rPr>
              <w:t>21 VSAFAS „Sandoriai užsienio valiuta“</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04BD" w:rsidRDefault="00A004BD">
            <w:pPr>
              <w:jc w:val="center"/>
            </w:pPr>
            <w:r>
              <w:rPr>
                <w:rStyle w:val="apple-style-span"/>
                <w:b/>
                <w:sz w:val="22"/>
                <w:szCs w:val="22"/>
              </w:rPr>
              <w:t>+</w:t>
            </w:r>
          </w:p>
        </w:tc>
      </w:tr>
      <w:tr w:rsidR="00A004BD">
        <w:tc>
          <w:tcPr>
            <w:tcW w:w="7797" w:type="dxa"/>
            <w:tcBorders>
              <w:top w:val="single" w:sz="4" w:space="0" w:color="000000"/>
              <w:left w:val="single" w:sz="4" w:space="0" w:color="000000"/>
              <w:bottom w:val="single" w:sz="4" w:space="0" w:color="000000"/>
            </w:tcBorders>
            <w:shd w:val="clear" w:color="auto" w:fill="auto"/>
          </w:tcPr>
          <w:p w:rsidR="00A004BD" w:rsidRDefault="00A004BD">
            <w:pPr>
              <w:spacing w:before="40" w:after="40"/>
              <w:rPr>
                <w:rStyle w:val="apple-style-span"/>
                <w:b/>
                <w:sz w:val="22"/>
                <w:szCs w:val="22"/>
              </w:rPr>
            </w:pPr>
            <w:r>
              <w:rPr>
                <w:rStyle w:val="apple-style-span"/>
                <w:b/>
                <w:sz w:val="22"/>
                <w:szCs w:val="22"/>
              </w:rPr>
              <w:t>22 VSAFAS „Turto nuvertėjimas“</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04BD" w:rsidRDefault="00A004BD">
            <w:pPr>
              <w:jc w:val="center"/>
            </w:pPr>
            <w:r>
              <w:rPr>
                <w:rStyle w:val="apple-style-span"/>
                <w:b/>
                <w:sz w:val="22"/>
                <w:szCs w:val="22"/>
              </w:rPr>
              <w:t>+</w:t>
            </w:r>
          </w:p>
        </w:tc>
      </w:tr>
      <w:tr w:rsidR="00A004BD">
        <w:tc>
          <w:tcPr>
            <w:tcW w:w="7797" w:type="dxa"/>
            <w:tcBorders>
              <w:top w:val="single" w:sz="4" w:space="0" w:color="000000"/>
              <w:left w:val="single" w:sz="4" w:space="0" w:color="000000"/>
              <w:bottom w:val="single" w:sz="4" w:space="0" w:color="000000"/>
            </w:tcBorders>
            <w:shd w:val="clear" w:color="auto" w:fill="auto"/>
          </w:tcPr>
          <w:p w:rsidR="00A004BD" w:rsidRDefault="00A004BD">
            <w:pPr>
              <w:spacing w:before="40" w:after="40"/>
              <w:rPr>
                <w:rStyle w:val="apple-style-span"/>
                <w:b/>
                <w:sz w:val="22"/>
                <w:szCs w:val="22"/>
              </w:rPr>
            </w:pPr>
            <w:r>
              <w:rPr>
                <w:rStyle w:val="apple-style-span"/>
                <w:b/>
                <w:sz w:val="22"/>
                <w:szCs w:val="22"/>
              </w:rPr>
              <w:t>23 VSAFAS „Tarpinių finansinių ataskaitų rinkinys“</w:t>
            </w:r>
            <w:r>
              <w:rPr>
                <w:rStyle w:val="apple-converted-space"/>
                <w:rFonts w:cs="Arial"/>
                <w:b/>
                <w:sz w:val="22"/>
                <w:szCs w:val="22"/>
              </w:rPr>
              <w:t> </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04BD" w:rsidRDefault="00A004BD">
            <w:pPr>
              <w:jc w:val="center"/>
            </w:pPr>
            <w:r>
              <w:rPr>
                <w:rStyle w:val="apple-style-span"/>
                <w:b/>
                <w:sz w:val="22"/>
                <w:szCs w:val="22"/>
              </w:rPr>
              <w:t>+</w:t>
            </w:r>
          </w:p>
        </w:tc>
      </w:tr>
      <w:tr w:rsidR="00A004BD">
        <w:tc>
          <w:tcPr>
            <w:tcW w:w="7797" w:type="dxa"/>
            <w:tcBorders>
              <w:top w:val="single" w:sz="4" w:space="0" w:color="000000"/>
              <w:left w:val="single" w:sz="4" w:space="0" w:color="000000"/>
              <w:bottom w:val="single" w:sz="4" w:space="0" w:color="000000"/>
            </w:tcBorders>
            <w:shd w:val="clear" w:color="auto" w:fill="auto"/>
          </w:tcPr>
          <w:p w:rsidR="00A004BD" w:rsidRDefault="00A004BD">
            <w:pPr>
              <w:spacing w:before="40" w:after="40"/>
              <w:rPr>
                <w:rStyle w:val="apple-style-span"/>
                <w:b/>
                <w:sz w:val="22"/>
                <w:szCs w:val="22"/>
              </w:rPr>
            </w:pPr>
            <w:r>
              <w:rPr>
                <w:rStyle w:val="apple-style-span"/>
                <w:b/>
                <w:sz w:val="22"/>
                <w:szCs w:val="22"/>
              </w:rPr>
              <w:t>24 VSAFAS „Su darbo santykiais susijusios išmokos“</w:t>
            </w:r>
            <w:r>
              <w:rPr>
                <w:rStyle w:val="apple-converted-space"/>
                <w:rFonts w:cs="Arial"/>
                <w:b/>
                <w:sz w:val="22"/>
                <w:szCs w:val="22"/>
              </w:rPr>
              <w:t> </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04BD" w:rsidRDefault="00A004BD">
            <w:pPr>
              <w:jc w:val="center"/>
            </w:pPr>
            <w:r>
              <w:rPr>
                <w:rStyle w:val="apple-style-span"/>
                <w:b/>
                <w:sz w:val="22"/>
                <w:szCs w:val="22"/>
              </w:rPr>
              <w:t>+</w:t>
            </w:r>
          </w:p>
        </w:tc>
      </w:tr>
      <w:tr w:rsidR="00A004BD">
        <w:tc>
          <w:tcPr>
            <w:tcW w:w="7797" w:type="dxa"/>
            <w:tcBorders>
              <w:top w:val="single" w:sz="4" w:space="0" w:color="000000"/>
              <w:left w:val="single" w:sz="4" w:space="0" w:color="000000"/>
              <w:bottom w:val="single" w:sz="4" w:space="0" w:color="000000"/>
            </w:tcBorders>
            <w:shd w:val="clear" w:color="auto" w:fill="auto"/>
          </w:tcPr>
          <w:p w:rsidR="00A004BD" w:rsidRDefault="00A004BD">
            <w:pPr>
              <w:spacing w:before="40" w:after="40"/>
              <w:rPr>
                <w:rStyle w:val="apple-style-span"/>
                <w:b/>
                <w:sz w:val="22"/>
                <w:szCs w:val="22"/>
              </w:rPr>
            </w:pPr>
            <w:r>
              <w:rPr>
                <w:rStyle w:val="apple-style-span"/>
                <w:b/>
                <w:sz w:val="22"/>
                <w:szCs w:val="22"/>
              </w:rPr>
              <w:t>25 VSAFAS „Segmentai“</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04BD" w:rsidRDefault="00A004BD">
            <w:pPr>
              <w:jc w:val="center"/>
            </w:pPr>
            <w:r>
              <w:rPr>
                <w:rStyle w:val="apple-style-span"/>
                <w:b/>
                <w:sz w:val="22"/>
                <w:szCs w:val="22"/>
              </w:rPr>
              <w:t>+</w:t>
            </w:r>
          </w:p>
        </w:tc>
      </w:tr>
      <w:tr w:rsidR="00A004BD">
        <w:tc>
          <w:tcPr>
            <w:tcW w:w="7797" w:type="dxa"/>
            <w:tcBorders>
              <w:top w:val="single" w:sz="4" w:space="0" w:color="000000"/>
              <w:left w:val="single" w:sz="4" w:space="0" w:color="000000"/>
              <w:bottom w:val="single" w:sz="4" w:space="0" w:color="000000"/>
            </w:tcBorders>
            <w:shd w:val="clear" w:color="auto" w:fill="auto"/>
          </w:tcPr>
          <w:p w:rsidR="00A004BD" w:rsidRDefault="00A004BD">
            <w:pPr>
              <w:spacing w:before="40" w:after="40"/>
              <w:rPr>
                <w:rStyle w:val="apple-style-span"/>
                <w:b/>
                <w:sz w:val="22"/>
                <w:szCs w:val="22"/>
              </w:rPr>
            </w:pPr>
            <w:r>
              <w:rPr>
                <w:rStyle w:val="apple-style-span"/>
                <w:b/>
                <w:sz w:val="22"/>
                <w:szCs w:val="22"/>
              </w:rPr>
              <w:t>26 VSAFAS „Išteklių fondo apskaita ir finansinių ataskaitų rinkinys“</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04BD" w:rsidRDefault="00A004BD">
            <w:pPr>
              <w:jc w:val="center"/>
            </w:pPr>
            <w:r>
              <w:rPr>
                <w:rStyle w:val="apple-style-span"/>
                <w:b/>
                <w:sz w:val="22"/>
                <w:szCs w:val="22"/>
              </w:rPr>
              <w:t>-</w:t>
            </w:r>
          </w:p>
        </w:tc>
      </w:tr>
      <w:tr w:rsidR="00A004BD">
        <w:tc>
          <w:tcPr>
            <w:tcW w:w="7797" w:type="dxa"/>
            <w:tcBorders>
              <w:left w:val="single" w:sz="4" w:space="0" w:color="000000"/>
              <w:bottom w:val="single" w:sz="4" w:space="0" w:color="000000"/>
            </w:tcBorders>
            <w:shd w:val="clear" w:color="auto" w:fill="auto"/>
          </w:tcPr>
          <w:p w:rsidR="00A004BD" w:rsidRDefault="00A004BD">
            <w:pPr>
              <w:spacing w:before="40" w:after="40"/>
              <w:rPr>
                <w:rStyle w:val="apple-style-span"/>
                <w:b/>
                <w:sz w:val="22"/>
                <w:szCs w:val="22"/>
              </w:rPr>
            </w:pPr>
            <w:r>
              <w:rPr>
                <w:rStyle w:val="apple-style-span"/>
                <w:b/>
                <w:bCs/>
                <w:color w:val="000000"/>
                <w:sz w:val="21"/>
                <w:szCs w:val="21"/>
              </w:rPr>
              <w:t xml:space="preserve">27 VSAFAS „Koncesijos ir valdžios ir privataus subjektų partnerystės sutartys“ </w:t>
            </w:r>
          </w:p>
        </w:tc>
        <w:tc>
          <w:tcPr>
            <w:tcW w:w="1731" w:type="dxa"/>
            <w:tcBorders>
              <w:left w:val="single" w:sz="4" w:space="0" w:color="000000"/>
              <w:bottom w:val="single" w:sz="4" w:space="0" w:color="000000"/>
              <w:right w:val="single" w:sz="4" w:space="0" w:color="000000"/>
            </w:tcBorders>
            <w:shd w:val="clear" w:color="auto" w:fill="auto"/>
            <w:vAlign w:val="center"/>
          </w:tcPr>
          <w:p w:rsidR="00A004BD" w:rsidRDefault="00A004BD">
            <w:pPr>
              <w:jc w:val="center"/>
            </w:pPr>
            <w:r>
              <w:rPr>
                <w:rStyle w:val="apple-style-span"/>
                <w:b/>
                <w:sz w:val="22"/>
                <w:szCs w:val="22"/>
              </w:rPr>
              <w:t>-</w:t>
            </w:r>
          </w:p>
        </w:tc>
      </w:tr>
      <w:tr w:rsidR="00A004BD">
        <w:tc>
          <w:tcPr>
            <w:tcW w:w="7797" w:type="dxa"/>
            <w:tcBorders>
              <w:left w:val="single" w:sz="4" w:space="0" w:color="000000"/>
              <w:bottom w:val="single" w:sz="4" w:space="0" w:color="000000"/>
            </w:tcBorders>
            <w:shd w:val="clear" w:color="auto" w:fill="auto"/>
          </w:tcPr>
          <w:p w:rsidR="00A004BD" w:rsidRDefault="00A004BD">
            <w:pPr>
              <w:spacing w:before="40" w:after="40"/>
              <w:rPr>
                <w:rStyle w:val="apple-style-span"/>
                <w:b/>
                <w:sz w:val="22"/>
                <w:szCs w:val="22"/>
              </w:rPr>
            </w:pPr>
            <w:r>
              <w:rPr>
                <w:rStyle w:val="apple-style-span"/>
                <w:b/>
                <w:bCs/>
                <w:color w:val="000000"/>
                <w:sz w:val="21"/>
                <w:szCs w:val="21"/>
              </w:rPr>
              <w:t xml:space="preserve">28 VSAFAS „Euro įvedimas“ </w:t>
            </w:r>
          </w:p>
        </w:tc>
        <w:tc>
          <w:tcPr>
            <w:tcW w:w="1731" w:type="dxa"/>
            <w:tcBorders>
              <w:left w:val="single" w:sz="4" w:space="0" w:color="000000"/>
              <w:bottom w:val="single" w:sz="4" w:space="0" w:color="000000"/>
              <w:right w:val="single" w:sz="4" w:space="0" w:color="000000"/>
            </w:tcBorders>
            <w:shd w:val="clear" w:color="auto" w:fill="auto"/>
            <w:vAlign w:val="center"/>
          </w:tcPr>
          <w:p w:rsidR="00A004BD" w:rsidRDefault="00A004BD">
            <w:pPr>
              <w:jc w:val="center"/>
            </w:pPr>
            <w:r>
              <w:rPr>
                <w:rStyle w:val="apple-style-span"/>
                <w:b/>
                <w:sz w:val="22"/>
                <w:szCs w:val="22"/>
              </w:rPr>
              <w:t>+</w:t>
            </w:r>
          </w:p>
        </w:tc>
      </w:tr>
    </w:tbl>
    <w:p w:rsidR="00A004BD" w:rsidRDefault="00A004BD">
      <w:pPr>
        <w:widowControl w:val="0"/>
        <w:shd w:val="clear" w:color="auto" w:fill="FFFFFF"/>
        <w:tabs>
          <w:tab w:val="left" w:pos="1980"/>
        </w:tabs>
        <w:autoSpaceDE w:val="0"/>
        <w:spacing w:line="360" w:lineRule="auto"/>
        <w:ind w:right="96"/>
        <w:jc w:val="both"/>
      </w:pPr>
    </w:p>
    <w:p w:rsidR="00A004BD" w:rsidRDefault="00A004BD">
      <w:pPr>
        <w:widowControl w:val="0"/>
        <w:numPr>
          <w:ilvl w:val="0"/>
          <w:numId w:val="2"/>
        </w:numPr>
        <w:shd w:val="clear" w:color="auto" w:fill="FFFFFF"/>
        <w:tabs>
          <w:tab w:val="left" w:pos="1980"/>
        </w:tabs>
        <w:autoSpaceDE w:val="0"/>
        <w:spacing w:line="360" w:lineRule="auto"/>
        <w:ind w:right="96"/>
        <w:jc w:val="both"/>
        <w:rPr>
          <w:rFonts w:cs="Times New Roman"/>
          <w:szCs w:val="24"/>
        </w:rPr>
      </w:pPr>
      <w:r>
        <w:rPr>
          <w:rFonts w:cs="Times New Roman"/>
          <w:szCs w:val="24"/>
        </w:rPr>
        <w:t xml:space="preserve">Visos ūkinės operacijos ir įvykiai apskaitoje registruojami litais ir centais, apvalinant iki šimtųjų lito dalių (dviejų skaitmenų po kablelio). </w:t>
      </w:r>
      <w:r>
        <w:rPr>
          <w:rFonts w:cs="Times New Roman"/>
          <w:b/>
          <w:bCs/>
          <w:szCs w:val="24"/>
          <w:u w:val="single"/>
        </w:rPr>
        <w:t>Nuo 2015 m. sausio mėn. 1 dienos Eurais.</w:t>
      </w:r>
    </w:p>
    <w:p w:rsidR="00A004BD" w:rsidRDefault="00A004BD">
      <w:pPr>
        <w:widowControl w:val="0"/>
        <w:numPr>
          <w:ilvl w:val="0"/>
          <w:numId w:val="2"/>
        </w:numPr>
        <w:shd w:val="clear" w:color="auto" w:fill="FFFFFF"/>
        <w:tabs>
          <w:tab w:val="left" w:pos="1980"/>
        </w:tabs>
        <w:autoSpaceDE w:val="0"/>
        <w:spacing w:line="360" w:lineRule="auto"/>
        <w:ind w:right="96"/>
        <w:jc w:val="both"/>
        <w:rPr>
          <w:rFonts w:cs="Times New Roman"/>
          <w:szCs w:val="24"/>
        </w:rPr>
      </w:pPr>
      <w:r>
        <w:rPr>
          <w:rFonts w:cs="Times New Roman"/>
          <w:szCs w:val="24"/>
        </w:rPr>
        <w:t>Visos ūkinės operacijos ir įvykiai registruojami l/d „Žilvitis“ sąskaitų plano sąskaitose, taikant įstaigos apskaitos politiką, parengtą pagal VSAFAS reikalavimus (nurodytus principus, metodus ir taisykles) atskiroms ūkinėms operacijoms ir įvykiams, finansinių  ataskaitų elementams arba straipsniams ir apskaitos procedūroms.</w:t>
      </w:r>
    </w:p>
    <w:p w:rsidR="00A004BD" w:rsidRDefault="00A004BD">
      <w:pPr>
        <w:widowControl w:val="0"/>
        <w:numPr>
          <w:ilvl w:val="0"/>
          <w:numId w:val="2"/>
        </w:numPr>
        <w:shd w:val="clear" w:color="auto" w:fill="FFFFFF"/>
        <w:tabs>
          <w:tab w:val="left" w:pos="1980"/>
        </w:tabs>
        <w:autoSpaceDE w:val="0"/>
        <w:spacing w:line="360" w:lineRule="auto"/>
        <w:ind w:right="96"/>
        <w:jc w:val="both"/>
        <w:rPr>
          <w:rFonts w:cs="Times New Roman"/>
          <w:szCs w:val="24"/>
        </w:rPr>
      </w:pPr>
      <w:r>
        <w:rPr>
          <w:rFonts w:cs="Times New Roman"/>
          <w:szCs w:val="24"/>
        </w:rPr>
        <w:t>Reikšminga informacija yra tokia, kurios nepateikimas arba klaidingas pateikimas gali iškreipti finansinę ataskaitą ir paveikti informacijos vartotojų priimamus sprendimus</w:t>
      </w:r>
    </w:p>
    <w:p w:rsidR="00A004BD" w:rsidRDefault="00A004BD">
      <w:pPr>
        <w:widowControl w:val="0"/>
        <w:numPr>
          <w:ilvl w:val="0"/>
          <w:numId w:val="2"/>
        </w:numPr>
        <w:shd w:val="clear" w:color="auto" w:fill="FFFFFF"/>
        <w:tabs>
          <w:tab w:val="left" w:pos="1980"/>
        </w:tabs>
        <w:autoSpaceDE w:val="0"/>
        <w:spacing w:line="360" w:lineRule="auto"/>
        <w:jc w:val="both"/>
        <w:rPr>
          <w:rFonts w:cs="Times New Roman"/>
          <w:color w:val="000000"/>
          <w:spacing w:val="-1"/>
          <w:w w:val="103"/>
          <w:szCs w:val="24"/>
        </w:rPr>
      </w:pPr>
      <w:r>
        <w:rPr>
          <w:rFonts w:cs="Times New Roman"/>
          <w:szCs w:val="24"/>
        </w:rPr>
        <w:t>Toliau pateikiama l/d „Žilvitis“ taikoma apskaitos politika, apimanti atskirus finansinių ataskaitų elementus arba straipsnius, ūkines operacijas, ūkinius įvykius ir jų apskaitos procedūras.</w:t>
      </w:r>
    </w:p>
    <w:p w:rsidR="00A004BD" w:rsidRDefault="00A004BD">
      <w:pPr>
        <w:pStyle w:val="Antrat2"/>
        <w:numPr>
          <w:ilvl w:val="0"/>
          <w:numId w:val="0"/>
        </w:numPr>
        <w:spacing w:before="0" w:after="0" w:line="360" w:lineRule="auto"/>
        <w:ind w:left="360"/>
        <w:jc w:val="both"/>
        <w:rPr>
          <w:rFonts w:ascii="Times New Roman" w:hAnsi="Times New Roman" w:cs="Times New Roman"/>
          <w:i w:val="0"/>
          <w:iCs w:val="0"/>
          <w:color w:val="000000"/>
          <w:spacing w:val="-1"/>
          <w:w w:val="103"/>
          <w:sz w:val="24"/>
          <w:szCs w:val="24"/>
        </w:rPr>
      </w:pPr>
      <w:bookmarkStart w:id="7" w:name="_Ref99354285"/>
    </w:p>
    <w:p w:rsidR="00A004BD" w:rsidRDefault="00A004BD">
      <w:pPr>
        <w:pStyle w:val="Antrat2"/>
        <w:numPr>
          <w:ilvl w:val="0"/>
          <w:numId w:val="0"/>
        </w:numPr>
        <w:spacing w:before="0" w:after="0" w:line="360" w:lineRule="auto"/>
        <w:jc w:val="center"/>
        <w:rPr>
          <w:rFonts w:cs="Times New Roman"/>
          <w:szCs w:val="24"/>
        </w:rPr>
      </w:pPr>
      <w:bookmarkStart w:id="8" w:name="__RefHeading___Toc286759976"/>
      <w:bookmarkEnd w:id="8"/>
      <w:r>
        <w:rPr>
          <w:rFonts w:ascii="Times New Roman" w:hAnsi="Times New Roman" w:cs="Times New Roman"/>
          <w:i w:val="0"/>
          <w:iCs w:val="0"/>
          <w:color w:val="000000"/>
          <w:spacing w:val="-1"/>
          <w:w w:val="103"/>
          <w:sz w:val="24"/>
          <w:szCs w:val="24"/>
        </w:rPr>
        <w:t>Nematerialusis turtas</w:t>
      </w:r>
      <w:bookmarkEnd w:id="7"/>
    </w:p>
    <w:p w:rsidR="00A004BD" w:rsidRDefault="00A004BD">
      <w:pPr>
        <w:tabs>
          <w:tab w:val="left" w:pos="1260"/>
        </w:tabs>
        <w:spacing w:line="360" w:lineRule="auto"/>
        <w:ind w:right="96" w:firstLine="1298"/>
        <w:rPr>
          <w:rFonts w:cs="Times New Roman"/>
          <w:szCs w:val="24"/>
        </w:rPr>
      </w:pPr>
    </w:p>
    <w:p w:rsidR="00A004BD" w:rsidRDefault="00A004BD">
      <w:pPr>
        <w:widowControl w:val="0"/>
        <w:numPr>
          <w:ilvl w:val="0"/>
          <w:numId w:val="2"/>
        </w:numPr>
        <w:shd w:val="clear" w:color="auto" w:fill="FFFFFF"/>
        <w:tabs>
          <w:tab w:val="left" w:pos="1980"/>
        </w:tabs>
        <w:autoSpaceDE w:val="0"/>
        <w:spacing w:line="360" w:lineRule="auto"/>
        <w:ind w:right="96"/>
        <w:jc w:val="both"/>
        <w:rPr>
          <w:rFonts w:cs="Times New Roman"/>
          <w:szCs w:val="24"/>
        </w:rPr>
      </w:pPr>
      <w:r>
        <w:rPr>
          <w:rFonts w:cs="Times New Roman"/>
          <w:szCs w:val="24"/>
        </w:rPr>
        <w:t xml:space="preserve">Nematerialiojo turto apskaitos politika nustatyta 13-ajame VSAFAS „Nematerialusis turtas“, nematerialiojo turto nuvertėjimo apskaičiavimo ir apskaitos metodai ir taisyklės – 22-ajame VSAFAS „Turto nuvertėjimas“. </w:t>
      </w:r>
    </w:p>
    <w:p w:rsidR="00A004BD" w:rsidRDefault="00A004BD">
      <w:pPr>
        <w:widowControl w:val="0"/>
        <w:numPr>
          <w:ilvl w:val="0"/>
          <w:numId w:val="2"/>
        </w:numPr>
        <w:shd w:val="clear" w:color="auto" w:fill="FFFFFF"/>
        <w:tabs>
          <w:tab w:val="left" w:pos="1980"/>
        </w:tabs>
        <w:autoSpaceDE w:val="0"/>
        <w:spacing w:line="360" w:lineRule="auto"/>
        <w:ind w:right="96"/>
        <w:jc w:val="both"/>
        <w:rPr>
          <w:rFonts w:cs="Times New Roman"/>
          <w:szCs w:val="24"/>
        </w:rPr>
      </w:pPr>
      <w:r>
        <w:rPr>
          <w:rFonts w:cs="Times New Roman"/>
          <w:szCs w:val="24"/>
        </w:rPr>
        <w:t>Nematerialusis turtas yra pripažįstamas, jei atitinka 13-ajame VSAFAS  pateiktą sąvoką ir nematerialiajam turtui nustatytus kriterijus.</w:t>
      </w:r>
    </w:p>
    <w:p w:rsidR="00A004BD" w:rsidRDefault="00A004BD">
      <w:pPr>
        <w:widowControl w:val="0"/>
        <w:numPr>
          <w:ilvl w:val="0"/>
          <w:numId w:val="2"/>
        </w:numPr>
        <w:shd w:val="clear" w:color="auto" w:fill="FFFFFF"/>
        <w:tabs>
          <w:tab w:val="left" w:pos="1980"/>
        </w:tabs>
        <w:autoSpaceDE w:val="0"/>
        <w:spacing w:line="360" w:lineRule="auto"/>
        <w:ind w:right="96"/>
        <w:jc w:val="both"/>
        <w:rPr>
          <w:rFonts w:cs="Times New Roman"/>
          <w:szCs w:val="24"/>
        </w:rPr>
      </w:pPr>
      <w:r>
        <w:rPr>
          <w:rFonts w:cs="Times New Roman"/>
          <w:szCs w:val="24"/>
        </w:rPr>
        <w:t xml:space="preserve">Nematerialusis turtas pirminio pripažinimo metu apskaitoje yra registruojamas įsigijimo savikaina. Išlaidos, patirtos po pirkto ar susikurto nematerialiojo turto pirminio pripažinimo, didina nematerialiojo turto įsigijimo savikainą tik tais atvejais, kai galima patikimai </w:t>
      </w:r>
      <w:r>
        <w:rPr>
          <w:rFonts w:cs="Times New Roman"/>
          <w:szCs w:val="24"/>
        </w:rPr>
        <w:lastRenderedPageBreak/>
        <w:t>nustatyti, kad patobulintas nematerialusis turtas teiks didesnę ekonominę naudą, t.y. kad atliktas esminis nematerialiojo turto pagerinimas.</w:t>
      </w:r>
    </w:p>
    <w:p w:rsidR="00A004BD" w:rsidRDefault="00A004BD">
      <w:pPr>
        <w:widowControl w:val="0"/>
        <w:numPr>
          <w:ilvl w:val="0"/>
          <w:numId w:val="2"/>
        </w:numPr>
        <w:shd w:val="clear" w:color="auto" w:fill="FFFFFF"/>
        <w:tabs>
          <w:tab w:val="left" w:pos="1980"/>
        </w:tabs>
        <w:autoSpaceDE w:val="0"/>
        <w:spacing w:line="360" w:lineRule="auto"/>
        <w:ind w:right="96"/>
        <w:jc w:val="both"/>
        <w:rPr>
          <w:rFonts w:cs="Times New Roman"/>
          <w:szCs w:val="24"/>
        </w:rPr>
      </w:pPr>
      <w:r>
        <w:rPr>
          <w:rFonts w:cs="Times New Roman"/>
          <w:szCs w:val="24"/>
        </w:rPr>
        <w:t>Išankstiniai apmokėjimai už nematerialųjį turtą apskaitoje registruojami nematerialiojo turto sąskaitose.</w:t>
      </w:r>
    </w:p>
    <w:p w:rsidR="00A004BD" w:rsidRDefault="00A004BD">
      <w:pPr>
        <w:widowControl w:val="0"/>
        <w:numPr>
          <w:ilvl w:val="0"/>
          <w:numId w:val="2"/>
        </w:numPr>
        <w:shd w:val="clear" w:color="auto" w:fill="FFFFFF"/>
        <w:tabs>
          <w:tab w:val="left" w:pos="1980"/>
        </w:tabs>
        <w:autoSpaceDE w:val="0"/>
        <w:spacing w:line="360" w:lineRule="auto"/>
        <w:ind w:right="96"/>
        <w:jc w:val="both"/>
        <w:rPr>
          <w:rFonts w:cs="Times New Roman"/>
          <w:szCs w:val="24"/>
        </w:rPr>
      </w:pPr>
      <w:bookmarkStart w:id="9" w:name="OLE_LINK2"/>
      <w:bookmarkStart w:id="10" w:name="OLE_LINK1"/>
      <w:r>
        <w:rPr>
          <w:rFonts w:cs="Times New Roman"/>
          <w:szCs w:val="24"/>
        </w:rPr>
        <w:t xml:space="preserve">Po pirminio pripažinimo nematerialusis turtas, kurio naudingo tarnavimo laikas ribotas, finansinėse ataskaitose yra parodomas įsigijimo savikaina, atėmus sukauptą amortizaciją ir nuvertėjimą, jei jis yra. </w:t>
      </w:r>
      <w:bookmarkEnd w:id="9"/>
      <w:bookmarkEnd w:id="10"/>
    </w:p>
    <w:p w:rsidR="00A004BD" w:rsidRDefault="00A004BD">
      <w:pPr>
        <w:widowControl w:val="0"/>
        <w:numPr>
          <w:ilvl w:val="0"/>
          <w:numId w:val="2"/>
        </w:numPr>
        <w:shd w:val="clear" w:color="auto" w:fill="FFFFFF"/>
        <w:tabs>
          <w:tab w:val="left" w:pos="1980"/>
        </w:tabs>
        <w:autoSpaceDE w:val="0"/>
        <w:spacing w:line="360" w:lineRule="auto"/>
        <w:ind w:right="96"/>
        <w:jc w:val="both"/>
        <w:rPr>
          <w:rFonts w:cs="Times New Roman"/>
          <w:szCs w:val="24"/>
        </w:rPr>
      </w:pPr>
      <w:r>
        <w:rPr>
          <w:rFonts w:cs="Times New Roman"/>
          <w:szCs w:val="24"/>
        </w:rPr>
        <w:t>Nematerialiojo turto amortizuojamoji vertė yra nuosekliai paskirstoma per visą nustatytą turto naudingo tarnavimo laiką tiesiogiai proporcingu metodu. Nematerialiojo turto vieneto amortizacija pradedama skaičiuoti nuo kito mėnesio, kai turtas pradedamas naudoti, pirmos dienos ir nebeskaičiuojama nuo kito mėnesio, kai naudojamo nematerialiojo turto likutinė vertė sutampa su jo likvidacine verte, kai turtas perleidžiamas, nurašomas arba kai apskaičiuojamas ir užregistruojamas to turto vieneto nuvertėjimas, lygus jo likutinės vertės sumai, pirmos dienos.</w:t>
      </w:r>
    </w:p>
    <w:p w:rsidR="00A004BD" w:rsidRDefault="00A004BD">
      <w:pPr>
        <w:widowControl w:val="0"/>
        <w:numPr>
          <w:ilvl w:val="0"/>
          <w:numId w:val="2"/>
        </w:numPr>
        <w:shd w:val="clear" w:color="auto" w:fill="FFFFFF"/>
        <w:tabs>
          <w:tab w:val="left" w:pos="1980"/>
        </w:tabs>
        <w:autoSpaceDE w:val="0"/>
        <w:spacing w:line="360" w:lineRule="auto"/>
        <w:ind w:right="96"/>
        <w:jc w:val="both"/>
        <w:rPr>
          <w:rFonts w:cs="Times New Roman"/>
          <w:szCs w:val="24"/>
        </w:rPr>
      </w:pPr>
      <w:r>
        <w:rPr>
          <w:rFonts w:cs="Times New Roman"/>
          <w:szCs w:val="24"/>
        </w:rPr>
        <w:t xml:space="preserve">Nematerialiojo turto naudingo tarnavimo laikas, nustatytas atsižvelgiant į sutartis ar kitas juridines teises, neturi būti ilgesnis už juridinių teisių galiojimo laikotarpį.   </w:t>
      </w:r>
    </w:p>
    <w:p w:rsidR="00A004BD" w:rsidRDefault="00A004BD">
      <w:pPr>
        <w:widowControl w:val="0"/>
        <w:numPr>
          <w:ilvl w:val="0"/>
          <w:numId w:val="2"/>
        </w:numPr>
        <w:shd w:val="clear" w:color="auto" w:fill="FFFFFF"/>
        <w:tabs>
          <w:tab w:val="left" w:pos="1980"/>
        </w:tabs>
        <w:autoSpaceDE w:val="0"/>
        <w:spacing w:line="360" w:lineRule="auto"/>
        <w:ind w:right="96"/>
        <w:jc w:val="both"/>
        <w:rPr>
          <w:rFonts w:cs="Times New Roman"/>
          <w:color w:val="000000"/>
          <w:spacing w:val="-1"/>
          <w:w w:val="103"/>
          <w:szCs w:val="24"/>
        </w:rPr>
      </w:pPr>
      <w:r>
        <w:rPr>
          <w:rFonts w:cs="Times New Roman"/>
          <w:szCs w:val="24"/>
        </w:rPr>
        <w:t xml:space="preserve">Įstaigos  nematerialiojo turto apskaitos tvarka ir procedūros nustatytos 1-ame „Nematerialiojo turto apskaitos“ tvarkos apraše.  </w:t>
      </w:r>
    </w:p>
    <w:p w:rsidR="00A004BD" w:rsidRDefault="00A004BD">
      <w:pPr>
        <w:pStyle w:val="Antrat2"/>
        <w:numPr>
          <w:ilvl w:val="0"/>
          <w:numId w:val="0"/>
        </w:numPr>
        <w:spacing w:before="0" w:after="0" w:line="360" w:lineRule="auto"/>
        <w:jc w:val="center"/>
        <w:rPr>
          <w:rFonts w:ascii="Times New Roman" w:hAnsi="Times New Roman" w:cs="Times New Roman"/>
          <w:sz w:val="24"/>
          <w:szCs w:val="24"/>
        </w:rPr>
      </w:pPr>
      <w:bookmarkStart w:id="11" w:name="__RefHeading___Toc286759977"/>
      <w:bookmarkEnd w:id="11"/>
      <w:r>
        <w:rPr>
          <w:rFonts w:ascii="Times New Roman" w:hAnsi="Times New Roman" w:cs="Times New Roman"/>
          <w:i w:val="0"/>
          <w:iCs w:val="0"/>
          <w:color w:val="000000"/>
          <w:spacing w:val="-1"/>
          <w:w w:val="103"/>
          <w:sz w:val="24"/>
          <w:szCs w:val="24"/>
        </w:rPr>
        <w:t>Ilgalaikis materialusis turtas</w:t>
      </w:r>
    </w:p>
    <w:p w:rsidR="00A004BD" w:rsidRDefault="00A004BD">
      <w:pPr>
        <w:pStyle w:val="Antrat3"/>
        <w:numPr>
          <w:ilvl w:val="0"/>
          <w:numId w:val="0"/>
        </w:numPr>
        <w:tabs>
          <w:tab w:val="left" w:pos="1260"/>
          <w:tab w:val="left" w:pos="2520"/>
        </w:tabs>
        <w:spacing w:before="0" w:after="0" w:line="360" w:lineRule="auto"/>
        <w:ind w:left="1800" w:right="96"/>
        <w:jc w:val="both"/>
        <w:rPr>
          <w:rFonts w:ascii="Times New Roman" w:hAnsi="Times New Roman" w:cs="Times New Roman"/>
          <w:sz w:val="24"/>
          <w:szCs w:val="24"/>
        </w:rPr>
      </w:pPr>
    </w:p>
    <w:p w:rsidR="00A004BD" w:rsidRDefault="00A004BD">
      <w:pPr>
        <w:widowControl w:val="0"/>
        <w:numPr>
          <w:ilvl w:val="0"/>
          <w:numId w:val="2"/>
        </w:numPr>
        <w:shd w:val="clear" w:color="auto" w:fill="FFFFFF"/>
        <w:tabs>
          <w:tab w:val="left" w:pos="1980"/>
        </w:tabs>
        <w:autoSpaceDE w:val="0"/>
        <w:spacing w:line="360" w:lineRule="auto"/>
        <w:ind w:right="96"/>
        <w:jc w:val="both"/>
        <w:rPr>
          <w:rFonts w:cs="Times New Roman"/>
          <w:szCs w:val="24"/>
        </w:rPr>
      </w:pPr>
      <w:bookmarkStart w:id="12" w:name="_Ref140565456"/>
      <w:r>
        <w:rPr>
          <w:rFonts w:cs="Times New Roman"/>
          <w:szCs w:val="24"/>
        </w:rPr>
        <w:t xml:space="preserve">Ilgalaikio materialiojo turto apskaitos metodai ir taisyklės nustatyti 12-ajame VSAFAS „Ilgalaikis materialusis turtas“, ilgalaikio materialiojo turto nuvertėjimo apskaičiavimo ir apskaitos metodai ir taisyklės – 22-ajame VSAFAS „Turto nuvertėjimas“. </w:t>
      </w:r>
    </w:p>
    <w:p w:rsidR="00A004BD" w:rsidRDefault="00A004BD">
      <w:pPr>
        <w:widowControl w:val="0"/>
        <w:numPr>
          <w:ilvl w:val="0"/>
          <w:numId w:val="2"/>
        </w:numPr>
        <w:shd w:val="clear" w:color="auto" w:fill="FFFFFF"/>
        <w:tabs>
          <w:tab w:val="left" w:pos="1980"/>
        </w:tabs>
        <w:autoSpaceDE w:val="0"/>
        <w:spacing w:line="360" w:lineRule="auto"/>
        <w:ind w:right="96"/>
        <w:jc w:val="both"/>
        <w:rPr>
          <w:rFonts w:cs="Times New Roman"/>
          <w:szCs w:val="24"/>
        </w:rPr>
      </w:pPr>
      <w:r>
        <w:rPr>
          <w:rFonts w:cs="Times New Roman"/>
          <w:szCs w:val="24"/>
        </w:rPr>
        <w:t>Ilgalaikis materialusis turtas pripažįstamas ir registruojamas apskaitoje, jei jis atitinka ilgalaikio materialiojo turto sąvoką ir VSAFAS nustatytus ilgalaikio materialiojo turto pripažinimo kriterijus.</w:t>
      </w:r>
      <w:bookmarkEnd w:id="12"/>
    </w:p>
    <w:p w:rsidR="00A004BD" w:rsidRDefault="00A004BD">
      <w:pPr>
        <w:widowControl w:val="0"/>
        <w:numPr>
          <w:ilvl w:val="0"/>
          <w:numId w:val="2"/>
        </w:numPr>
        <w:shd w:val="clear" w:color="auto" w:fill="FFFFFF"/>
        <w:tabs>
          <w:tab w:val="left" w:pos="1980"/>
        </w:tabs>
        <w:autoSpaceDE w:val="0"/>
        <w:spacing w:line="360" w:lineRule="auto"/>
        <w:ind w:right="96"/>
        <w:jc w:val="both"/>
        <w:rPr>
          <w:rFonts w:cs="Times New Roman"/>
          <w:szCs w:val="24"/>
        </w:rPr>
      </w:pPr>
      <w:r>
        <w:rPr>
          <w:rFonts w:cs="Times New Roman"/>
          <w:szCs w:val="24"/>
        </w:rPr>
        <w:t xml:space="preserve">Ilgalaikis materialusis turtas pagal pobūdį skirstomas į pagrindines grupes, nustatytas VSAFAS. </w:t>
      </w:r>
    </w:p>
    <w:p w:rsidR="00A004BD" w:rsidRDefault="00A004BD">
      <w:pPr>
        <w:widowControl w:val="0"/>
        <w:numPr>
          <w:ilvl w:val="0"/>
          <w:numId w:val="2"/>
        </w:numPr>
        <w:shd w:val="clear" w:color="auto" w:fill="FFFFFF"/>
        <w:tabs>
          <w:tab w:val="left" w:pos="1980"/>
        </w:tabs>
        <w:autoSpaceDE w:val="0"/>
        <w:spacing w:line="360" w:lineRule="auto"/>
        <w:ind w:right="96"/>
        <w:jc w:val="both"/>
        <w:rPr>
          <w:rFonts w:cs="Times New Roman"/>
          <w:szCs w:val="24"/>
        </w:rPr>
      </w:pPr>
      <w:bookmarkStart w:id="13" w:name="_Ref140565532"/>
      <w:r>
        <w:rPr>
          <w:rFonts w:cs="Times New Roman"/>
          <w:szCs w:val="24"/>
        </w:rPr>
        <w:t>Įsigytas ilgalaikis materialusis turtas pirminio pripažinimo momentu apskaitoje registruojamas įsigijimo savikaina.</w:t>
      </w:r>
      <w:bookmarkStart w:id="14" w:name="OLE_LINK6"/>
      <w:bookmarkStart w:id="15" w:name="OLE_LINK5"/>
      <w:bookmarkEnd w:id="13"/>
    </w:p>
    <w:p w:rsidR="00A004BD" w:rsidRDefault="00A004BD">
      <w:pPr>
        <w:widowControl w:val="0"/>
        <w:numPr>
          <w:ilvl w:val="0"/>
          <w:numId w:val="2"/>
        </w:numPr>
        <w:shd w:val="clear" w:color="auto" w:fill="FFFFFF"/>
        <w:tabs>
          <w:tab w:val="left" w:pos="1980"/>
        </w:tabs>
        <w:autoSpaceDE w:val="0"/>
        <w:spacing w:line="360" w:lineRule="auto"/>
        <w:ind w:right="96"/>
        <w:jc w:val="both"/>
        <w:rPr>
          <w:rFonts w:cs="Times New Roman"/>
          <w:szCs w:val="24"/>
        </w:rPr>
      </w:pPr>
      <w:r>
        <w:rPr>
          <w:rFonts w:cs="Times New Roman"/>
          <w:szCs w:val="24"/>
        </w:rPr>
        <w:t>Išankstiniai apmokėjimai už ilgalaikį materialųjį turtą apskaitoje registruojami tam skirtose ilgalaikio materialiojo turto sąskaitose.</w:t>
      </w:r>
      <w:bookmarkEnd w:id="14"/>
      <w:bookmarkEnd w:id="15"/>
    </w:p>
    <w:p w:rsidR="00A004BD" w:rsidRDefault="00A004BD">
      <w:pPr>
        <w:widowControl w:val="0"/>
        <w:numPr>
          <w:ilvl w:val="0"/>
          <w:numId w:val="2"/>
        </w:numPr>
        <w:shd w:val="clear" w:color="auto" w:fill="FFFFFF"/>
        <w:tabs>
          <w:tab w:val="left" w:pos="1980"/>
        </w:tabs>
        <w:autoSpaceDE w:val="0"/>
        <w:spacing w:line="360" w:lineRule="auto"/>
        <w:ind w:right="96"/>
        <w:jc w:val="both"/>
        <w:rPr>
          <w:rFonts w:cs="Times New Roman"/>
          <w:szCs w:val="24"/>
        </w:rPr>
      </w:pPr>
      <w:r>
        <w:rPr>
          <w:rFonts w:cs="Times New Roman"/>
          <w:szCs w:val="24"/>
        </w:rPr>
        <w:t xml:space="preserve">Po pirminio pripažinimo ilgalaikis materialusis turtas, išskyrus žemę ir kultūros vertybes, finansinėse ataskaitose rodomas įsigijimo savikaina, atėmus sukauptą nusidėvėjimą ir nuvertėjimą, jei jis yra. Žemė ir kultūros vertybės po pirminio pripažinimo finansinėse ataskaitose rodomi tikrąja verte (išskyrus kultūros vertybių rekonstravimo, konservavimo ir restauravimo </w:t>
      </w:r>
      <w:r>
        <w:rPr>
          <w:rFonts w:cs="Times New Roman"/>
          <w:szCs w:val="24"/>
        </w:rPr>
        <w:lastRenderedPageBreak/>
        <w:t>išlaidas, kurios yra laikomos esminiu turto pagerinimu ir apskaitoje registruojamos 12-ajame VSAFAS „Ilgalaikis materialusis turtas“ nustatyta tvarka didinant šio ilgalaikio materialiojo turto vertę).</w:t>
      </w:r>
      <w:bookmarkStart w:id="16" w:name="_Ref156833207"/>
    </w:p>
    <w:p w:rsidR="00A004BD" w:rsidRDefault="00A004BD">
      <w:pPr>
        <w:widowControl w:val="0"/>
        <w:numPr>
          <w:ilvl w:val="0"/>
          <w:numId w:val="2"/>
        </w:numPr>
        <w:shd w:val="clear" w:color="auto" w:fill="FFFFFF"/>
        <w:tabs>
          <w:tab w:val="left" w:pos="1980"/>
        </w:tabs>
        <w:autoSpaceDE w:val="0"/>
        <w:spacing w:line="360" w:lineRule="auto"/>
        <w:ind w:right="96"/>
        <w:jc w:val="both"/>
        <w:rPr>
          <w:rFonts w:cs="Times New Roman"/>
          <w:szCs w:val="24"/>
        </w:rPr>
      </w:pPr>
      <w:r>
        <w:rPr>
          <w:rFonts w:cs="Times New Roman"/>
          <w:szCs w:val="24"/>
        </w:rPr>
        <w:t>Ilgalaikio materialiojo turto nudėvimoji vertė yra nuosekliai paskirstoma per visą turto naudingo tarnavimo laiką. Ilgalaikio materialiojo turto vieneto nusidėvėjimas pradedamas skaičiuoti nuo kito mėnesio, kai turtas pradedamas naudoti, pirmos dienos. Nusidėvėjimas nebeskaičiuojamas nuo kito mėnesio, kai naudojamo ilgalaikio materialiojo turto likutinė vertė sutampa su jo likvidacine verte, kai turtas perleidžiamas, nurašomas arba kai apskaičiuojamas ir užregistruojamas to turto vieneto nuvertėjimas, lygus jo likutinės vertės sumai, pirmos dienos.</w:t>
      </w:r>
      <w:bookmarkEnd w:id="16"/>
    </w:p>
    <w:p w:rsidR="00A004BD" w:rsidRDefault="00A004BD">
      <w:pPr>
        <w:widowControl w:val="0"/>
        <w:numPr>
          <w:ilvl w:val="0"/>
          <w:numId w:val="2"/>
        </w:numPr>
        <w:shd w:val="clear" w:color="auto" w:fill="FFFFFF"/>
        <w:tabs>
          <w:tab w:val="left" w:pos="1980"/>
        </w:tabs>
        <w:autoSpaceDE w:val="0"/>
        <w:spacing w:line="360" w:lineRule="auto"/>
        <w:ind w:right="96"/>
        <w:jc w:val="both"/>
        <w:rPr>
          <w:rFonts w:cs="Times New Roman"/>
          <w:szCs w:val="24"/>
        </w:rPr>
      </w:pPr>
      <w:r>
        <w:rPr>
          <w:rFonts w:cs="Times New Roman"/>
          <w:szCs w:val="24"/>
        </w:rPr>
        <w:t>Ilgalaikio materialiojo turto nusidėvėjimas skaičiuojamas taikant tiesiogiai proporcingą (tiesinį) metodą pagal konkrečius materialiojo turto nusidėvėjimo normatyvus, nustatytus teisės aktų ir patvirtintus įstaigos direktoriaus teisės aktų numatyta tvarka.</w:t>
      </w:r>
    </w:p>
    <w:p w:rsidR="00A004BD" w:rsidRDefault="00A004BD">
      <w:pPr>
        <w:widowControl w:val="0"/>
        <w:numPr>
          <w:ilvl w:val="0"/>
          <w:numId w:val="2"/>
        </w:numPr>
        <w:shd w:val="clear" w:color="auto" w:fill="FFFFFF"/>
        <w:tabs>
          <w:tab w:val="left" w:pos="1980"/>
        </w:tabs>
        <w:autoSpaceDE w:val="0"/>
        <w:spacing w:line="360" w:lineRule="auto"/>
        <w:ind w:right="96"/>
        <w:jc w:val="both"/>
        <w:rPr>
          <w:rFonts w:cs="Times New Roman"/>
          <w:szCs w:val="24"/>
        </w:rPr>
      </w:pPr>
      <w:r>
        <w:rPr>
          <w:rFonts w:cs="Times New Roman"/>
          <w:szCs w:val="24"/>
        </w:rPr>
        <w:t xml:space="preserve">Kai turtas parduodamas arba nurašomas, jo įsigijimo savikaina, sukauptas nusidėvėjimas ir, jei yra, nuvertėjimas nurašomi. Pardavimo pelnas ar nuostoliai parodomi atitinkamame veiklos rezultatų ataskaitos straipsnyje. </w:t>
      </w:r>
    </w:p>
    <w:p w:rsidR="00A004BD" w:rsidRDefault="00A004BD">
      <w:pPr>
        <w:widowControl w:val="0"/>
        <w:numPr>
          <w:ilvl w:val="0"/>
          <w:numId w:val="2"/>
        </w:numPr>
        <w:shd w:val="clear" w:color="auto" w:fill="FFFFFF"/>
        <w:tabs>
          <w:tab w:val="left" w:pos="1980"/>
        </w:tabs>
        <w:autoSpaceDE w:val="0"/>
        <w:spacing w:line="360" w:lineRule="auto"/>
        <w:ind w:right="96"/>
        <w:jc w:val="both"/>
        <w:rPr>
          <w:rFonts w:cs="Times New Roman"/>
          <w:szCs w:val="24"/>
        </w:rPr>
      </w:pPr>
      <w:r>
        <w:rPr>
          <w:rFonts w:cs="Times New Roman"/>
          <w:szCs w:val="24"/>
        </w:rPr>
        <w:t>Ilgalaikio materialiojo turto rekonstravimas, remontas ar kiti darbai pripažįstami esminiu turto pagerinimu, jei padidina turto funkcijų apimtį arba pailgina turto naudingo tarnavimo laiką, arba iš esmės pagerina jo naudingąsias savybes. Šių darbų verte didinama ilgalaikio materialiojo turto įsigijimo savikaina ir (arba) patikslinamas likęs turto naudingo tarnavimo laikas. Jei atlikti darbai nepagerina naudingųjų ilgalaikio materialiojo turto savybių ar nepadidina turto funkcijų apimties, arba nepailgina jo naudingo tarnavimo laiko, jie nepripažįstami esminiu pagerinimu, o šių darbų vertė pripažįstama ataskaitinio laikotarpio sąnaudomis.</w:t>
      </w:r>
    </w:p>
    <w:p w:rsidR="00A004BD" w:rsidRDefault="00A004BD">
      <w:pPr>
        <w:widowControl w:val="0"/>
        <w:numPr>
          <w:ilvl w:val="0"/>
          <w:numId w:val="2"/>
        </w:numPr>
        <w:shd w:val="clear" w:color="auto" w:fill="FFFFFF"/>
        <w:tabs>
          <w:tab w:val="left" w:pos="1980"/>
        </w:tabs>
        <w:autoSpaceDE w:val="0"/>
        <w:spacing w:line="360" w:lineRule="auto"/>
        <w:ind w:right="96" w:hanging="502"/>
        <w:jc w:val="both"/>
      </w:pPr>
      <w:r>
        <w:rPr>
          <w:rFonts w:cs="Times New Roman"/>
          <w:szCs w:val="24"/>
        </w:rPr>
        <w:t xml:space="preserve">L/d „Žilvitis“ materialiojo turto apskaitos tvarka ir procedūros nustatytos 2-ame „Ilgalaikio materialiojo turto apskaitos“ tvarkos apraše. </w:t>
      </w:r>
    </w:p>
    <w:p w:rsidR="00A004BD" w:rsidRDefault="00A004BD">
      <w:pPr>
        <w:widowControl w:val="0"/>
        <w:shd w:val="clear" w:color="auto" w:fill="FFFFFF"/>
        <w:tabs>
          <w:tab w:val="left" w:pos="1980"/>
        </w:tabs>
        <w:autoSpaceDE w:val="0"/>
        <w:spacing w:line="360" w:lineRule="auto"/>
        <w:ind w:left="1942" w:right="96"/>
        <w:jc w:val="both"/>
      </w:pPr>
    </w:p>
    <w:p w:rsidR="00A004BD" w:rsidRDefault="00A004BD">
      <w:pPr>
        <w:spacing w:line="360" w:lineRule="auto"/>
        <w:ind w:right="96" w:firstLine="1298"/>
        <w:jc w:val="center"/>
      </w:pPr>
    </w:p>
    <w:p w:rsidR="00A004BD" w:rsidRDefault="00A004BD">
      <w:pPr>
        <w:pStyle w:val="Antrat2"/>
        <w:numPr>
          <w:ilvl w:val="0"/>
          <w:numId w:val="0"/>
        </w:numPr>
        <w:spacing w:before="0" w:after="0" w:line="360" w:lineRule="auto"/>
        <w:jc w:val="center"/>
        <w:rPr>
          <w:rFonts w:cs="Times New Roman"/>
          <w:szCs w:val="24"/>
        </w:rPr>
      </w:pPr>
      <w:bookmarkStart w:id="17" w:name="__RefHeading___Toc286759979"/>
      <w:bookmarkEnd w:id="17"/>
      <w:r>
        <w:rPr>
          <w:rFonts w:ascii="Times New Roman" w:hAnsi="Times New Roman" w:cs="Times New Roman"/>
          <w:i w:val="0"/>
          <w:iCs w:val="0"/>
          <w:color w:val="000000"/>
          <w:spacing w:val="-1"/>
          <w:w w:val="103"/>
          <w:sz w:val="24"/>
          <w:szCs w:val="24"/>
        </w:rPr>
        <w:t>Atsargos</w:t>
      </w:r>
    </w:p>
    <w:p w:rsidR="00A004BD" w:rsidRDefault="00A004BD">
      <w:pPr>
        <w:tabs>
          <w:tab w:val="left" w:pos="360"/>
          <w:tab w:val="left" w:pos="1260"/>
        </w:tabs>
        <w:spacing w:line="360" w:lineRule="auto"/>
        <w:ind w:right="96" w:firstLine="1298"/>
        <w:rPr>
          <w:rFonts w:cs="Times New Roman"/>
          <w:szCs w:val="24"/>
        </w:rPr>
      </w:pPr>
    </w:p>
    <w:p w:rsidR="00A004BD" w:rsidRDefault="00A004BD">
      <w:pPr>
        <w:widowControl w:val="0"/>
        <w:numPr>
          <w:ilvl w:val="0"/>
          <w:numId w:val="2"/>
        </w:numPr>
        <w:shd w:val="clear" w:color="auto" w:fill="FFFFFF"/>
        <w:tabs>
          <w:tab w:val="left" w:pos="1980"/>
        </w:tabs>
        <w:autoSpaceDE w:val="0"/>
        <w:spacing w:line="360" w:lineRule="auto"/>
        <w:ind w:right="96"/>
        <w:jc w:val="both"/>
        <w:rPr>
          <w:rFonts w:cs="Times New Roman"/>
          <w:szCs w:val="24"/>
        </w:rPr>
      </w:pPr>
      <w:r>
        <w:rPr>
          <w:rFonts w:cs="Times New Roman"/>
          <w:szCs w:val="24"/>
        </w:rPr>
        <w:t>Atsargų apskaitos metodai ir taisyklės nustatyti 8-ajame VSAFAS „Atsargos“.</w:t>
      </w:r>
    </w:p>
    <w:p w:rsidR="00A004BD" w:rsidRDefault="00A004BD">
      <w:pPr>
        <w:widowControl w:val="0"/>
        <w:numPr>
          <w:ilvl w:val="0"/>
          <w:numId w:val="2"/>
        </w:numPr>
        <w:shd w:val="clear" w:color="auto" w:fill="FFFFFF"/>
        <w:tabs>
          <w:tab w:val="left" w:pos="1980"/>
        </w:tabs>
        <w:autoSpaceDE w:val="0"/>
        <w:spacing w:line="360" w:lineRule="auto"/>
        <w:ind w:right="96"/>
        <w:jc w:val="both"/>
        <w:rPr>
          <w:rFonts w:cs="Times New Roman"/>
          <w:szCs w:val="24"/>
        </w:rPr>
      </w:pPr>
      <w:r>
        <w:rPr>
          <w:rFonts w:cs="Times New Roman"/>
          <w:szCs w:val="24"/>
        </w:rPr>
        <w:t xml:space="preserve">Pirminio pripažinimo metu atsargos įvertinamos įsigijimo (pasigaminimo) savikaina, o sudarant finansines ataskaitas – įsigijimo (pasigaminimo) savikaina ar grynąja galimo realizavimo verte, atsižvelgiant į tai, kuri iš jų mažesnė. </w:t>
      </w:r>
    </w:p>
    <w:p w:rsidR="00A004BD" w:rsidRDefault="00A004BD">
      <w:pPr>
        <w:widowControl w:val="0"/>
        <w:numPr>
          <w:ilvl w:val="0"/>
          <w:numId w:val="2"/>
        </w:numPr>
        <w:shd w:val="clear" w:color="auto" w:fill="FFFFFF"/>
        <w:tabs>
          <w:tab w:val="left" w:pos="1980"/>
        </w:tabs>
        <w:autoSpaceDE w:val="0"/>
        <w:spacing w:line="360" w:lineRule="auto"/>
        <w:ind w:right="96"/>
        <w:jc w:val="both"/>
        <w:rPr>
          <w:rFonts w:cs="Times New Roman"/>
          <w:szCs w:val="24"/>
        </w:rPr>
      </w:pPr>
      <w:r>
        <w:rPr>
          <w:rFonts w:cs="Times New Roman"/>
          <w:szCs w:val="24"/>
        </w:rPr>
        <w:t>Apskaičiuojant atsargų, sunaudotų teikiant paslaugas, ar parduotų atsargų savikainą, taikomas FIFO (įvertinus „pirmas gautas – pirmas išduotas“) būdas.</w:t>
      </w:r>
    </w:p>
    <w:p w:rsidR="00A004BD" w:rsidRDefault="00A004BD">
      <w:pPr>
        <w:widowControl w:val="0"/>
        <w:numPr>
          <w:ilvl w:val="0"/>
          <w:numId w:val="2"/>
        </w:numPr>
        <w:shd w:val="clear" w:color="auto" w:fill="FFFFFF"/>
        <w:tabs>
          <w:tab w:val="left" w:pos="1980"/>
        </w:tabs>
        <w:autoSpaceDE w:val="0"/>
        <w:spacing w:line="360" w:lineRule="auto"/>
        <w:ind w:right="96"/>
        <w:jc w:val="both"/>
        <w:rPr>
          <w:rFonts w:cs="Times New Roman"/>
          <w:szCs w:val="24"/>
        </w:rPr>
      </w:pPr>
      <w:r>
        <w:rPr>
          <w:rFonts w:cs="Times New Roman"/>
          <w:szCs w:val="24"/>
        </w:rPr>
        <w:t xml:space="preserve">Atsargos gali būti nukainojamos iki grynosios galimo realizavimo vertės tam, kad jų </w:t>
      </w:r>
      <w:r>
        <w:rPr>
          <w:rFonts w:cs="Times New Roman"/>
          <w:szCs w:val="24"/>
        </w:rPr>
        <w:lastRenderedPageBreak/>
        <w:t>balansinė vertė neviršytų būsimos ekonominės naudos ar paslaugų vertės, kurią tikimasi gauti šias atsargas pardavus, išmainius, paskirsčius ar panaudojus. Kai atsargos (taip pat ir nebaigtos vykdyti sutartys) parduodamos, išmainomos ar perduodamos, jų balansinė vertė pripažįstama sąnaudomis to laikotarpio, kuriuo pripažįstamos atitinkamos pajamos arba suteikiamos viešosios paslaugos. Atsargų sunaudojimas arba pardavimas apskaitoje registruojamas pagal nuolat apskaitomų atsargų būdą, kai buhalterinėje apskaitoje registruojama kiekviena su atsargų sunaudojimu arba pardavimu susijusi operacija.</w:t>
      </w:r>
    </w:p>
    <w:p w:rsidR="00A004BD" w:rsidRDefault="00A004BD">
      <w:pPr>
        <w:widowControl w:val="0"/>
        <w:numPr>
          <w:ilvl w:val="0"/>
          <w:numId w:val="2"/>
        </w:numPr>
        <w:shd w:val="clear" w:color="auto" w:fill="FFFFFF"/>
        <w:tabs>
          <w:tab w:val="left" w:pos="1980"/>
        </w:tabs>
        <w:autoSpaceDE w:val="0"/>
        <w:spacing w:line="360" w:lineRule="auto"/>
        <w:ind w:right="96"/>
        <w:jc w:val="both"/>
        <w:rPr>
          <w:rFonts w:cs="Times New Roman"/>
          <w:szCs w:val="24"/>
        </w:rPr>
      </w:pPr>
      <w:r>
        <w:rPr>
          <w:rFonts w:cs="Times New Roman"/>
          <w:szCs w:val="24"/>
        </w:rPr>
        <w:t xml:space="preserve">Prie atsargų priskiriamas neatiduotas naudoti ūkinis inventorius. Atiduoto naudoti inventoriaus vertė iš karto įtraukiama į sąnaudas. Naudojamo inventoriaus kiekinė ir vertinė apskaita  tvarkoma nebalansinėse sąskaitose. </w:t>
      </w:r>
    </w:p>
    <w:p w:rsidR="00A004BD" w:rsidRDefault="00A004BD">
      <w:pPr>
        <w:widowControl w:val="0"/>
        <w:numPr>
          <w:ilvl w:val="0"/>
          <w:numId w:val="2"/>
        </w:numPr>
        <w:shd w:val="clear" w:color="auto" w:fill="FFFFFF"/>
        <w:tabs>
          <w:tab w:val="left" w:pos="1980"/>
        </w:tabs>
        <w:autoSpaceDE w:val="0"/>
        <w:spacing w:line="360" w:lineRule="auto"/>
        <w:ind w:right="96"/>
        <w:jc w:val="both"/>
      </w:pPr>
      <w:r>
        <w:rPr>
          <w:rFonts w:cs="Times New Roman"/>
          <w:szCs w:val="24"/>
        </w:rPr>
        <w:t>Įstaigos atsargų apskaitos tvarka ir procedūros nustatytos 3-ame „Atsargų apskaitos“ tvarkos apraše.</w:t>
      </w:r>
      <w:r>
        <w:t xml:space="preserve"> </w:t>
      </w:r>
    </w:p>
    <w:p w:rsidR="00A004BD" w:rsidRDefault="00A004BD">
      <w:pPr>
        <w:widowControl w:val="0"/>
        <w:shd w:val="clear" w:color="auto" w:fill="FFFFFF"/>
        <w:tabs>
          <w:tab w:val="left" w:pos="1980"/>
        </w:tabs>
        <w:autoSpaceDE w:val="0"/>
        <w:spacing w:line="360" w:lineRule="auto"/>
        <w:ind w:left="644" w:right="96"/>
        <w:jc w:val="both"/>
      </w:pPr>
    </w:p>
    <w:p w:rsidR="00A004BD" w:rsidRDefault="00A004BD">
      <w:pPr>
        <w:pStyle w:val="Antrat2"/>
        <w:numPr>
          <w:ilvl w:val="0"/>
          <w:numId w:val="0"/>
        </w:numPr>
        <w:spacing w:before="0" w:after="0" w:line="360" w:lineRule="auto"/>
        <w:jc w:val="center"/>
      </w:pPr>
      <w:bookmarkStart w:id="18" w:name="__RefHeading___Toc286759980"/>
      <w:bookmarkEnd w:id="18"/>
      <w:r>
        <w:rPr>
          <w:rFonts w:ascii="Times New Roman" w:hAnsi="Times New Roman" w:cs="Times New Roman"/>
          <w:i w:val="0"/>
          <w:color w:val="000000"/>
          <w:spacing w:val="-1"/>
          <w:w w:val="103"/>
          <w:sz w:val="24"/>
        </w:rPr>
        <w:t>Finansinis turtas</w:t>
      </w:r>
    </w:p>
    <w:p w:rsidR="00A004BD" w:rsidRDefault="00A004BD">
      <w:pPr>
        <w:tabs>
          <w:tab w:val="left" w:pos="2160"/>
        </w:tabs>
        <w:spacing w:line="360" w:lineRule="auto"/>
        <w:ind w:right="96"/>
        <w:jc w:val="center"/>
      </w:pPr>
    </w:p>
    <w:p w:rsidR="00A004BD" w:rsidRDefault="00A004BD">
      <w:pPr>
        <w:widowControl w:val="0"/>
        <w:numPr>
          <w:ilvl w:val="0"/>
          <w:numId w:val="2"/>
        </w:numPr>
        <w:shd w:val="clear" w:color="auto" w:fill="FFFFFF"/>
        <w:tabs>
          <w:tab w:val="left" w:pos="1980"/>
        </w:tabs>
        <w:autoSpaceDE w:val="0"/>
        <w:spacing w:line="360" w:lineRule="auto"/>
        <w:ind w:right="96"/>
        <w:jc w:val="both"/>
        <w:rPr>
          <w:rFonts w:cs="Times New Roman"/>
          <w:szCs w:val="24"/>
        </w:rPr>
      </w:pPr>
      <w:r>
        <w:rPr>
          <w:rFonts w:cs="Times New Roman"/>
          <w:szCs w:val="24"/>
        </w:rPr>
        <w:t>Finansinio turto apskaitos metodai ir taisyklės nustatyti  17-ajame VSAFAS „Finansinis turtas ir finansiniai įsipareigojimai“</w:t>
      </w:r>
    </w:p>
    <w:p w:rsidR="00A004BD" w:rsidRDefault="00A004BD">
      <w:pPr>
        <w:widowControl w:val="0"/>
        <w:numPr>
          <w:ilvl w:val="0"/>
          <w:numId w:val="2"/>
        </w:numPr>
        <w:shd w:val="clear" w:color="auto" w:fill="FFFFFF"/>
        <w:tabs>
          <w:tab w:val="left" w:pos="1980"/>
        </w:tabs>
        <w:autoSpaceDE w:val="0"/>
        <w:spacing w:line="360" w:lineRule="auto"/>
        <w:jc w:val="both"/>
        <w:rPr>
          <w:rFonts w:cs="Times New Roman"/>
          <w:szCs w:val="24"/>
        </w:rPr>
      </w:pPr>
      <w:r>
        <w:rPr>
          <w:rFonts w:cs="Times New Roman"/>
          <w:szCs w:val="24"/>
        </w:rPr>
        <w:t>l/d „Žilvitis“ finansiniam turtui priskiriama:</w:t>
      </w:r>
    </w:p>
    <w:p w:rsidR="00A004BD" w:rsidRDefault="00A004BD">
      <w:pPr>
        <w:widowControl w:val="0"/>
        <w:numPr>
          <w:ilvl w:val="1"/>
          <w:numId w:val="2"/>
        </w:numPr>
        <w:shd w:val="clear" w:color="auto" w:fill="FFFFFF"/>
        <w:tabs>
          <w:tab w:val="left" w:pos="540"/>
          <w:tab w:val="left" w:pos="1260"/>
        </w:tabs>
        <w:autoSpaceDE w:val="0"/>
        <w:spacing w:line="360" w:lineRule="auto"/>
        <w:ind w:right="96"/>
        <w:jc w:val="both"/>
        <w:rPr>
          <w:rFonts w:cs="Times New Roman"/>
          <w:szCs w:val="24"/>
        </w:rPr>
      </w:pPr>
      <w:r>
        <w:rPr>
          <w:rFonts w:cs="Times New Roman"/>
          <w:szCs w:val="24"/>
        </w:rPr>
        <w:t>per vienerius metus gautinos sumos;</w:t>
      </w:r>
    </w:p>
    <w:p w:rsidR="00A004BD" w:rsidRDefault="00A004BD">
      <w:pPr>
        <w:widowControl w:val="0"/>
        <w:numPr>
          <w:ilvl w:val="1"/>
          <w:numId w:val="2"/>
        </w:numPr>
        <w:shd w:val="clear" w:color="auto" w:fill="FFFFFF"/>
        <w:tabs>
          <w:tab w:val="left" w:pos="540"/>
          <w:tab w:val="left" w:pos="1260"/>
        </w:tabs>
        <w:autoSpaceDE w:val="0"/>
        <w:spacing w:line="360" w:lineRule="auto"/>
        <w:ind w:right="96"/>
        <w:jc w:val="both"/>
        <w:rPr>
          <w:rFonts w:cs="Times New Roman"/>
          <w:szCs w:val="24"/>
        </w:rPr>
      </w:pPr>
      <w:r>
        <w:rPr>
          <w:rFonts w:cs="Times New Roman"/>
          <w:szCs w:val="24"/>
        </w:rPr>
        <w:t>pinigai ir jų ekvivalentai;</w:t>
      </w:r>
    </w:p>
    <w:p w:rsidR="00A004BD" w:rsidRDefault="00A004BD">
      <w:pPr>
        <w:widowControl w:val="0"/>
        <w:numPr>
          <w:ilvl w:val="1"/>
          <w:numId w:val="2"/>
        </w:numPr>
        <w:shd w:val="clear" w:color="auto" w:fill="FFFFFF"/>
        <w:tabs>
          <w:tab w:val="left" w:pos="540"/>
          <w:tab w:val="left" w:pos="1260"/>
        </w:tabs>
        <w:autoSpaceDE w:val="0"/>
        <w:spacing w:line="360" w:lineRule="auto"/>
        <w:ind w:right="96"/>
        <w:jc w:val="both"/>
        <w:rPr>
          <w:rFonts w:cs="Times New Roman"/>
          <w:szCs w:val="24"/>
        </w:rPr>
      </w:pPr>
      <w:r>
        <w:rPr>
          <w:rFonts w:cs="Times New Roman"/>
          <w:szCs w:val="24"/>
        </w:rPr>
        <w:t>kitas trumpalaikis finansinis turtas;</w:t>
      </w:r>
    </w:p>
    <w:p w:rsidR="00A004BD" w:rsidRDefault="00A004BD">
      <w:pPr>
        <w:widowControl w:val="0"/>
        <w:numPr>
          <w:ilvl w:val="1"/>
          <w:numId w:val="2"/>
        </w:numPr>
        <w:shd w:val="clear" w:color="auto" w:fill="FFFFFF"/>
        <w:tabs>
          <w:tab w:val="left" w:pos="540"/>
          <w:tab w:val="left" w:pos="1260"/>
        </w:tabs>
        <w:autoSpaceDE w:val="0"/>
        <w:spacing w:line="360" w:lineRule="auto"/>
        <w:ind w:right="96"/>
        <w:jc w:val="both"/>
        <w:rPr>
          <w:rFonts w:cs="Times New Roman"/>
          <w:szCs w:val="24"/>
        </w:rPr>
      </w:pPr>
      <w:r>
        <w:rPr>
          <w:rFonts w:cs="Times New Roman"/>
          <w:szCs w:val="24"/>
        </w:rPr>
        <w:t>po vienerių metų gautinos sumos;</w:t>
      </w:r>
    </w:p>
    <w:p w:rsidR="00A004BD" w:rsidRDefault="00A004BD">
      <w:pPr>
        <w:widowControl w:val="0"/>
        <w:numPr>
          <w:ilvl w:val="1"/>
          <w:numId w:val="2"/>
        </w:numPr>
        <w:shd w:val="clear" w:color="auto" w:fill="FFFFFF"/>
        <w:tabs>
          <w:tab w:val="left" w:pos="540"/>
          <w:tab w:val="left" w:pos="1260"/>
        </w:tabs>
        <w:autoSpaceDE w:val="0"/>
        <w:spacing w:line="360" w:lineRule="auto"/>
        <w:ind w:right="96"/>
        <w:jc w:val="both"/>
      </w:pPr>
      <w:r>
        <w:rPr>
          <w:rFonts w:cs="Times New Roman"/>
          <w:szCs w:val="24"/>
        </w:rPr>
        <w:t>kitas ilgalaikis finansinis turtas.</w:t>
      </w:r>
    </w:p>
    <w:p w:rsidR="00A004BD" w:rsidRDefault="00A004BD">
      <w:pPr>
        <w:widowControl w:val="0"/>
        <w:shd w:val="clear" w:color="auto" w:fill="FFFFFF"/>
        <w:tabs>
          <w:tab w:val="left" w:pos="540"/>
        </w:tabs>
        <w:autoSpaceDE w:val="0"/>
        <w:spacing w:line="360" w:lineRule="auto"/>
        <w:ind w:left="1000" w:right="96"/>
        <w:jc w:val="both"/>
      </w:pPr>
    </w:p>
    <w:p w:rsidR="00A004BD" w:rsidRDefault="00A004BD">
      <w:pPr>
        <w:tabs>
          <w:tab w:val="left" w:pos="360"/>
          <w:tab w:val="left" w:pos="1260"/>
        </w:tabs>
        <w:autoSpaceDE w:val="0"/>
        <w:spacing w:line="360" w:lineRule="auto"/>
        <w:ind w:right="96" w:firstLine="1298"/>
        <w:jc w:val="center"/>
        <w:rPr>
          <w:rFonts w:cs="Times New Roman"/>
          <w:b/>
          <w:i/>
          <w:szCs w:val="24"/>
        </w:rPr>
      </w:pPr>
    </w:p>
    <w:p w:rsidR="00A004BD" w:rsidRDefault="00A004BD">
      <w:pPr>
        <w:pStyle w:val="Antrat2"/>
        <w:numPr>
          <w:ilvl w:val="0"/>
          <w:numId w:val="0"/>
        </w:numPr>
        <w:spacing w:before="0" w:after="0" w:line="360" w:lineRule="auto"/>
        <w:jc w:val="center"/>
        <w:rPr>
          <w:rFonts w:cs="Times New Roman"/>
          <w:szCs w:val="24"/>
        </w:rPr>
      </w:pPr>
      <w:bookmarkStart w:id="19" w:name="__RefHeading___Toc286759981"/>
      <w:bookmarkEnd w:id="19"/>
      <w:r>
        <w:rPr>
          <w:rFonts w:ascii="Times New Roman" w:hAnsi="Times New Roman" w:cs="Times New Roman"/>
          <w:i w:val="0"/>
          <w:color w:val="000000"/>
          <w:spacing w:val="-1"/>
          <w:w w:val="103"/>
          <w:sz w:val="24"/>
        </w:rPr>
        <w:t>Gautinos sumos</w:t>
      </w:r>
    </w:p>
    <w:p w:rsidR="00A004BD" w:rsidRDefault="00A004BD">
      <w:pPr>
        <w:tabs>
          <w:tab w:val="left" w:pos="360"/>
          <w:tab w:val="left" w:pos="1260"/>
        </w:tabs>
        <w:autoSpaceDE w:val="0"/>
        <w:spacing w:line="360" w:lineRule="auto"/>
        <w:ind w:right="96" w:firstLine="1298"/>
        <w:jc w:val="both"/>
        <w:rPr>
          <w:rFonts w:cs="Times New Roman"/>
          <w:szCs w:val="24"/>
        </w:rPr>
      </w:pPr>
    </w:p>
    <w:p w:rsidR="00A004BD" w:rsidRDefault="00A004BD">
      <w:pPr>
        <w:widowControl w:val="0"/>
        <w:numPr>
          <w:ilvl w:val="0"/>
          <w:numId w:val="2"/>
        </w:numPr>
        <w:shd w:val="clear" w:color="auto" w:fill="FFFFFF"/>
        <w:tabs>
          <w:tab w:val="left" w:pos="1980"/>
        </w:tabs>
        <w:autoSpaceDE w:val="0"/>
        <w:spacing w:line="360" w:lineRule="auto"/>
        <w:ind w:right="96"/>
        <w:jc w:val="both"/>
        <w:rPr>
          <w:rFonts w:cs="Times New Roman"/>
          <w:szCs w:val="24"/>
        </w:rPr>
      </w:pPr>
      <w:r>
        <w:rPr>
          <w:rFonts w:cs="Times New Roman"/>
          <w:szCs w:val="24"/>
        </w:rPr>
        <w:t xml:space="preserve">Gautinos sumos pirminio pripažinimo metu yra įvertinamos įsigijimo savikaina. </w:t>
      </w:r>
    </w:p>
    <w:p w:rsidR="00A004BD" w:rsidRDefault="00A004BD">
      <w:pPr>
        <w:widowControl w:val="0"/>
        <w:numPr>
          <w:ilvl w:val="0"/>
          <w:numId w:val="2"/>
        </w:numPr>
        <w:shd w:val="clear" w:color="auto" w:fill="FFFFFF"/>
        <w:tabs>
          <w:tab w:val="left" w:pos="1980"/>
        </w:tabs>
        <w:autoSpaceDE w:val="0"/>
        <w:spacing w:line="360" w:lineRule="auto"/>
        <w:ind w:right="96"/>
        <w:jc w:val="both"/>
        <w:rPr>
          <w:rFonts w:cs="Times New Roman"/>
          <w:szCs w:val="24"/>
        </w:rPr>
      </w:pPr>
      <w:r>
        <w:rPr>
          <w:rFonts w:cs="Times New Roman"/>
          <w:szCs w:val="24"/>
        </w:rPr>
        <w:t xml:space="preserve">Vėliau ilgalaikės gautinos sumos ataskaitose parodomos amortizuota savikaina, o trumpalaikės gautinos sumos ataskaitose parodomos įsigijimo savikaina, atėmus nuvertėjimo nuostolius. </w:t>
      </w:r>
    </w:p>
    <w:p w:rsidR="00A004BD" w:rsidRDefault="00A004BD">
      <w:pPr>
        <w:widowControl w:val="0"/>
        <w:numPr>
          <w:ilvl w:val="0"/>
          <w:numId w:val="2"/>
        </w:numPr>
        <w:shd w:val="clear" w:color="auto" w:fill="FFFFFF"/>
        <w:tabs>
          <w:tab w:val="left" w:pos="1980"/>
        </w:tabs>
        <w:autoSpaceDE w:val="0"/>
        <w:spacing w:line="360" w:lineRule="auto"/>
        <w:ind w:right="96"/>
        <w:jc w:val="both"/>
        <w:rPr>
          <w:rFonts w:cs="Times New Roman"/>
          <w:szCs w:val="24"/>
        </w:rPr>
      </w:pPr>
      <w:r>
        <w:rPr>
          <w:rFonts w:cs="Times New Roman"/>
          <w:szCs w:val="24"/>
        </w:rPr>
        <w:t>L/d „Žilvitis“ gautinų sumų apskaitos tvarka ir procedūros nustatytos 6-ame „Išankstinių apmokėjimų ir gautinų sumų apskaitos“ tvarkos apraše.</w:t>
      </w:r>
    </w:p>
    <w:p w:rsidR="00A004BD" w:rsidRDefault="00A004BD">
      <w:pPr>
        <w:widowControl w:val="0"/>
        <w:shd w:val="clear" w:color="auto" w:fill="FFFFFF"/>
        <w:tabs>
          <w:tab w:val="left" w:pos="1980"/>
        </w:tabs>
        <w:autoSpaceDE w:val="0"/>
        <w:spacing w:line="360" w:lineRule="auto"/>
        <w:ind w:left="644" w:right="96"/>
        <w:jc w:val="both"/>
        <w:rPr>
          <w:rFonts w:cs="Times New Roman"/>
          <w:szCs w:val="24"/>
        </w:rPr>
      </w:pPr>
    </w:p>
    <w:p w:rsidR="00A004BD" w:rsidRDefault="00A004BD">
      <w:pPr>
        <w:pStyle w:val="Antrat2"/>
        <w:numPr>
          <w:ilvl w:val="0"/>
          <w:numId w:val="0"/>
        </w:numPr>
        <w:spacing w:before="0" w:after="0" w:line="360" w:lineRule="auto"/>
        <w:jc w:val="center"/>
        <w:rPr>
          <w:rFonts w:cs="Times New Roman"/>
          <w:szCs w:val="24"/>
        </w:rPr>
      </w:pPr>
      <w:bookmarkStart w:id="20" w:name="__RefHeading___Toc286759982"/>
      <w:bookmarkEnd w:id="20"/>
      <w:r>
        <w:rPr>
          <w:rFonts w:ascii="Times New Roman" w:hAnsi="Times New Roman" w:cs="Times New Roman"/>
          <w:i w:val="0"/>
          <w:color w:val="000000"/>
          <w:spacing w:val="-1"/>
          <w:w w:val="103"/>
          <w:sz w:val="24"/>
        </w:rPr>
        <w:lastRenderedPageBreak/>
        <w:t>Pinigai ir pinigų ekvivalentai</w:t>
      </w:r>
    </w:p>
    <w:p w:rsidR="00A004BD" w:rsidRDefault="00A004BD">
      <w:pPr>
        <w:tabs>
          <w:tab w:val="left" w:pos="360"/>
          <w:tab w:val="left" w:pos="1260"/>
        </w:tabs>
        <w:autoSpaceDE w:val="0"/>
        <w:spacing w:line="360" w:lineRule="auto"/>
        <w:ind w:right="96" w:firstLine="1298"/>
        <w:jc w:val="center"/>
        <w:rPr>
          <w:rFonts w:cs="Times New Roman"/>
          <w:b/>
          <w:szCs w:val="24"/>
        </w:rPr>
      </w:pPr>
    </w:p>
    <w:p w:rsidR="00A004BD" w:rsidRDefault="00A004BD">
      <w:pPr>
        <w:widowControl w:val="0"/>
        <w:numPr>
          <w:ilvl w:val="0"/>
          <w:numId w:val="2"/>
        </w:numPr>
        <w:shd w:val="clear" w:color="auto" w:fill="FFFFFF"/>
        <w:tabs>
          <w:tab w:val="left" w:pos="1980"/>
        </w:tabs>
        <w:autoSpaceDE w:val="0"/>
        <w:spacing w:line="360" w:lineRule="auto"/>
        <w:ind w:right="96"/>
        <w:jc w:val="both"/>
        <w:rPr>
          <w:rFonts w:cs="Times New Roman"/>
          <w:szCs w:val="24"/>
        </w:rPr>
      </w:pPr>
      <w:bookmarkStart w:id="21" w:name="_Ref192492765"/>
      <w:r>
        <w:rPr>
          <w:rFonts w:cs="Times New Roman"/>
          <w:szCs w:val="24"/>
        </w:rPr>
        <w:t>Pinigus sudaro pinigai kasoje ir banko sąskaitose.</w:t>
      </w:r>
    </w:p>
    <w:p w:rsidR="00A004BD" w:rsidRDefault="00A004BD">
      <w:pPr>
        <w:widowControl w:val="0"/>
        <w:numPr>
          <w:ilvl w:val="0"/>
          <w:numId w:val="2"/>
        </w:numPr>
        <w:shd w:val="clear" w:color="auto" w:fill="FFFFFF"/>
        <w:tabs>
          <w:tab w:val="left" w:pos="1980"/>
        </w:tabs>
        <w:autoSpaceDE w:val="0"/>
        <w:spacing w:line="360" w:lineRule="auto"/>
        <w:ind w:right="96"/>
        <w:jc w:val="both"/>
        <w:rPr>
          <w:rFonts w:cs="Times New Roman"/>
          <w:szCs w:val="24"/>
        </w:rPr>
      </w:pPr>
      <w:r>
        <w:rPr>
          <w:rFonts w:cs="Times New Roman"/>
          <w:szCs w:val="24"/>
        </w:rPr>
        <w:t xml:space="preserve"> Pinigų ekvivalentai yra trumpalaikės, likvidžios investicijos, kurios gali būti greitai ir lengvai iškeičiamos į žinomą pinigų sumą. Tokių investicijų terminas neviršija trijų mėnesių, o vertės pokyčių rizika yra labai nežymi.</w:t>
      </w:r>
      <w:bookmarkEnd w:id="21"/>
    </w:p>
    <w:p w:rsidR="00A004BD" w:rsidRDefault="00A004BD">
      <w:pPr>
        <w:widowControl w:val="0"/>
        <w:shd w:val="clear" w:color="auto" w:fill="FFFFFF"/>
        <w:tabs>
          <w:tab w:val="left" w:pos="1980"/>
        </w:tabs>
        <w:autoSpaceDE w:val="0"/>
        <w:spacing w:line="360" w:lineRule="auto"/>
        <w:ind w:left="644" w:right="96"/>
        <w:jc w:val="both"/>
        <w:rPr>
          <w:rFonts w:cs="Times New Roman"/>
          <w:szCs w:val="24"/>
        </w:rPr>
      </w:pPr>
      <w:bookmarkStart w:id="22" w:name="_Ref95640307"/>
    </w:p>
    <w:p w:rsidR="00A004BD" w:rsidRDefault="00A004BD">
      <w:pPr>
        <w:pStyle w:val="Antrat2"/>
        <w:numPr>
          <w:ilvl w:val="0"/>
          <w:numId w:val="0"/>
        </w:numPr>
        <w:spacing w:before="0" w:after="0" w:line="360" w:lineRule="auto"/>
        <w:jc w:val="center"/>
        <w:rPr>
          <w:rFonts w:ascii="Times New Roman" w:hAnsi="Times New Roman" w:cs="Times New Roman"/>
          <w:sz w:val="24"/>
          <w:szCs w:val="24"/>
        </w:rPr>
      </w:pPr>
      <w:bookmarkStart w:id="23" w:name="__RefHeading___Toc286759983"/>
      <w:bookmarkEnd w:id="23"/>
      <w:r>
        <w:rPr>
          <w:rFonts w:ascii="Times New Roman" w:hAnsi="Times New Roman" w:cs="Times New Roman"/>
          <w:i w:val="0"/>
          <w:color w:val="000000"/>
          <w:spacing w:val="-1"/>
          <w:w w:val="103"/>
          <w:sz w:val="24"/>
        </w:rPr>
        <w:t>Finansavimo sumos</w:t>
      </w:r>
    </w:p>
    <w:p w:rsidR="00A004BD" w:rsidRDefault="00A004BD">
      <w:pPr>
        <w:pStyle w:val="Antrat3"/>
        <w:numPr>
          <w:ilvl w:val="0"/>
          <w:numId w:val="0"/>
        </w:numPr>
        <w:tabs>
          <w:tab w:val="left" w:pos="1260"/>
          <w:tab w:val="left" w:pos="1920"/>
        </w:tabs>
        <w:spacing w:before="0" w:after="0" w:line="360" w:lineRule="auto"/>
        <w:ind w:left="902" w:right="96"/>
        <w:rPr>
          <w:rFonts w:ascii="Times New Roman" w:hAnsi="Times New Roman" w:cs="Times New Roman"/>
          <w:sz w:val="24"/>
          <w:szCs w:val="24"/>
        </w:rPr>
      </w:pPr>
    </w:p>
    <w:p w:rsidR="00A004BD" w:rsidRDefault="00A004BD">
      <w:pPr>
        <w:widowControl w:val="0"/>
        <w:numPr>
          <w:ilvl w:val="0"/>
          <w:numId w:val="2"/>
        </w:numPr>
        <w:shd w:val="clear" w:color="auto" w:fill="FFFFFF"/>
        <w:tabs>
          <w:tab w:val="left" w:pos="1980"/>
        </w:tabs>
        <w:autoSpaceDE w:val="0"/>
        <w:spacing w:line="360" w:lineRule="auto"/>
        <w:ind w:right="96"/>
        <w:jc w:val="both"/>
        <w:rPr>
          <w:rFonts w:cs="Times New Roman"/>
          <w:szCs w:val="24"/>
        </w:rPr>
      </w:pPr>
      <w:r>
        <w:rPr>
          <w:rFonts w:cs="Times New Roman"/>
          <w:szCs w:val="24"/>
        </w:rPr>
        <w:t>Finansavimo sumų apskaitos metodai ir taisyklės nustatyti 20-ajame VSAFAS „Finansavimo sumos”.</w:t>
      </w:r>
    </w:p>
    <w:p w:rsidR="00A004BD" w:rsidRDefault="00A004BD">
      <w:pPr>
        <w:widowControl w:val="0"/>
        <w:numPr>
          <w:ilvl w:val="0"/>
          <w:numId w:val="2"/>
        </w:numPr>
        <w:shd w:val="clear" w:color="auto" w:fill="FFFFFF"/>
        <w:tabs>
          <w:tab w:val="left" w:pos="1980"/>
        </w:tabs>
        <w:autoSpaceDE w:val="0"/>
        <w:spacing w:line="360" w:lineRule="auto"/>
        <w:ind w:right="96"/>
        <w:jc w:val="both"/>
        <w:rPr>
          <w:rFonts w:cs="Times New Roman"/>
          <w:szCs w:val="24"/>
        </w:rPr>
      </w:pPr>
      <w:r>
        <w:rPr>
          <w:rFonts w:cs="Times New Roman"/>
          <w:szCs w:val="24"/>
        </w:rPr>
        <w:t>Finansavimo sumos pripažįstamos, kai atitinka VSAFAS nustatytus kriterijus.</w:t>
      </w:r>
    </w:p>
    <w:p w:rsidR="00A004BD" w:rsidRDefault="00A004BD">
      <w:pPr>
        <w:widowControl w:val="0"/>
        <w:numPr>
          <w:ilvl w:val="0"/>
          <w:numId w:val="2"/>
        </w:numPr>
        <w:shd w:val="clear" w:color="auto" w:fill="FFFFFF"/>
        <w:tabs>
          <w:tab w:val="left" w:pos="1980"/>
        </w:tabs>
        <w:autoSpaceDE w:val="0"/>
        <w:spacing w:line="360" w:lineRule="auto"/>
        <w:jc w:val="both"/>
        <w:rPr>
          <w:rFonts w:cs="Times New Roman"/>
          <w:szCs w:val="24"/>
        </w:rPr>
      </w:pPr>
      <w:r>
        <w:rPr>
          <w:rFonts w:cs="Times New Roman"/>
          <w:szCs w:val="24"/>
        </w:rPr>
        <w:t>Finansavimo sumos – įstaigoje iš valstybės arba Savivaldybės biudžeto, kitų išteklių fondų, Europos Sąjungos, Lietuvos ir užsienio paramos fondų gauti arba gautini pinigai arba kitas turtas, skirtas l/d „Žilvitis“ tikslams ir programoms įgyvendinti. Finansavimo sumos apima ir įstaigos gautus arba gautinus pinigus, ir kitą turtą pavedimams vykdyti, kitas lėšas įstaigos išlaidoms dengti ir paramos būdu gautą turtą.</w:t>
      </w:r>
    </w:p>
    <w:p w:rsidR="00A004BD" w:rsidRDefault="00A004BD">
      <w:pPr>
        <w:widowControl w:val="0"/>
        <w:numPr>
          <w:ilvl w:val="0"/>
          <w:numId w:val="2"/>
        </w:numPr>
        <w:shd w:val="clear" w:color="auto" w:fill="FFFFFF"/>
        <w:tabs>
          <w:tab w:val="left" w:pos="1980"/>
        </w:tabs>
        <w:autoSpaceDE w:val="0"/>
        <w:spacing w:line="360" w:lineRule="auto"/>
        <w:jc w:val="both"/>
        <w:rPr>
          <w:rFonts w:cs="Times New Roman"/>
          <w:szCs w:val="24"/>
        </w:rPr>
      </w:pPr>
      <w:r>
        <w:rPr>
          <w:rFonts w:cs="Times New Roman"/>
          <w:szCs w:val="24"/>
        </w:rPr>
        <w:t>l/d „Žilvitis“ gautos (gautinos) finansavimo sumos pagal paskirtį skirstomos į:</w:t>
      </w:r>
    </w:p>
    <w:p w:rsidR="00A004BD" w:rsidRDefault="00A004BD">
      <w:pPr>
        <w:widowControl w:val="0"/>
        <w:numPr>
          <w:ilvl w:val="1"/>
          <w:numId w:val="2"/>
        </w:numPr>
        <w:shd w:val="clear" w:color="auto" w:fill="FFFFFF"/>
        <w:tabs>
          <w:tab w:val="left" w:pos="540"/>
          <w:tab w:val="left" w:pos="1260"/>
        </w:tabs>
        <w:autoSpaceDE w:val="0"/>
        <w:spacing w:line="360" w:lineRule="auto"/>
        <w:ind w:right="96"/>
        <w:jc w:val="both"/>
        <w:rPr>
          <w:rFonts w:cs="Times New Roman"/>
          <w:szCs w:val="24"/>
        </w:rPr>
      </w:pPr>
      <w:r>
        <w:rPr>
          <w:rFonts w:cs="Times New Roman"/>
          <w:szCs w:val="24"/>
        </w:rPr>
        <w:t>finansavimo sumas nepiniginiam turtui įsigyti ir</w:t>
      </w:r>
    </w:p>
    <w:p w:rsidR="00A004BD" w:rsidRDefault="00A004BD">
      <w:pPr>
        <w:widowControl w:val="0"/>
        <w:numPr>
          <w:ilvl w:val="1"/>
          <w:numId w:val="2"/>
        </w:numPr>
        <w:shd w:val="clear" w:color="auto" w:fill="FFFFFF"/>
        <w:tabs>
          <w:tab w:val="left" w:pos="540"/>
          <w:tab w:val="left" w:pos="1260"/>
        </w:tabs>
        <w:autoSpaceDE w:val="0"/>
        <w:spacing w:line="360" w:lineRule="auto"/>
        <w:ind w:right="96"/>
        <w:jc w:val="both"/>
        <w:rPr>
          <w:rFonts w:cs="Times New Roman"/>
          <w:szCs w:val="24"/>
        </w:rPr>
      </w:pPr>
      <w:r>
        <w:rPr>
          <w:rFonts w:cs="Times New Roman"/>
          <w:szCs w:val="24"/>
        </w:rPr>
        <w:t>finansavimo sumas kitoms išlaidoms kompensuoti.</w:t>
      </w:r>
    </w:p>
    <w:p w:rsidR="00A004BD" w:rsidRDefault="00A004BD">
      <w:pPr>
        <w:widowControl w:val="0"/>
        <w:numPr>
          <w:ilvl w:val="0"/>
          <w:numId w:val="2"/>
        </w:numPr>
        <w:shd w:val="clear" w:color="auto" w:fill="FFFFFF"/>
        <w:tabs>
          <w:tab w:val="left" w:pos="1980"/>
        </w:tabs>
        <w:autoSpaceDE w:val="0"/>
        <w:spacing w:line="360" w:lineRule="auto"/>
        <w:ind w:right="96"/>
        <w:jc w:val="both"/>
        <w:rPr>
          <w:rFonts w:cs="Times New Roman"/>
          <w:szCs w:val="24"/>
        </w:rPr>
      </w:pPr>
      <w:r>
        <w:rPr>
          <w:rFonts w:cs="Times New Roman"/>
          <w:szCs w:val="24"/>
        </w:rPr>
        <w:t>Finansavimo sumos nepiniginiam turtui yra gaunamos kaip nemokamai gautas ilgalaikis arba atsargos, įskaitant paramą, arba kaip pinigai, skirti įsigyti ilgalaikį arba trumpalaikį nepiniginį turtą.</w:t>
      </w:r>
    </w:p>
    <w:p w:rsidR="00A004BD" w:rsidRDefault="00A004BD">
      <w:pPr>
        <w:widowControl w:val="0"/>
        <w:numPr>
          <w:ilvl w:val="0"/>
          <w:numId w:val="2"/>
        </w:numPr>
        <w:shd w:val="clear" w:color="auto" w:fill="FFFFFF"/>
        <w:tabs>
          <w:tab w:val="left" w:pos="1980"/>
        </w:tabs>
        <w:autoSpaceDE w:val="0"/>
        <w:spacing w:line="360" w:lineRule="auto"/>
        <w:ind w:right="96"/>
        <w:jc w:val="both"/>
        <w:rPr>
          <w:rFonts w:cs="Times New Roman"/>
          <w:szCs w:val="24"/>
        </w:rPr>
      </w:pPr>
      <w:r>
        <w:rPr>
          <w:rFonts w:cs="Times New Roman"/>
          <w:szCs w:val="24"/>
        </w:rPr>
        <w:t xml:space="preserve">Finansavimo sumos kitoms išlaidoms dengti yra skirtos ataskaitinio laikotarpio išlaidoms (negautoms pajamoms) kompensuoti. Taip pat finansavimo sumomis, skirtomis kitoms išlaidoms kompensuoti, yra laikomos visos likusios finansavimo sumos, nepriskiriamos nepiniginiam turtui įsigyti. </w:t>
      </w:r>
    </w:p>
    <w:p w:rsidR="00A004BD" w:rsidRDefault="00A004BD">
      <w:pPr>
        <w:widowControl w:val="0"/>
        <w:numPr>
          <w:ilvl w:val="0"/>
          <w:numId w:val="2"/>
        </w:numPr>
        <w:shd w:val="clear" w:color="auto" w:fill="FFFFFF"/>
        <w:tabs>
          <w:tab w:val="left" w:pos="1980"/>
        </w:tabs>
        <w:autoSpaceDE w:val="0"/>
        <w:spacing w:line="360" w:lineRule="auto"/>
        <w:ind w:right="96"/>
        <w:jc w:val="both"/>
        <w:rPr>
          <w:rFonts w:cs="Times New Roman"/>
          <w:szCs w:val="24"/>
        </w:rPr>
      </w:pPr>
      <w:r>
        <w:rPr>
          <w:rFonts w:cs="Times New Roman"/>
          <w:szCs w:val="24"/>
        </w:rPr>
        <w:t>Gautos (gautinos) ir panaudotos finansavimo sumos arba jų dalis pripažįstamos finansavimo pajamomis tais laikotarpiais, kuriais patiriamos su finansavimo sumomis susijusios sąnaudos.</w:t>
      </w:r>
    </w:p>
    <w:p w:rsidR="00A004BD" w:rsidRDefault="00A004BD">
      <w:pPr>
        <w:widowControl w:val="0"/>
        <w:numPr>
          <w:ilvl w:val="0"/>
          <w:numId w:val="2"/>
        </w:numPr>
        <w:shd w:val="clear" w:color="auto" w:fill="FFFFFF"/>
        <w:tabs>
          <w:tab w:val="left" w:pos="1980"/>
        </w:tabs>
        <w:autoSpaceDE w:val="0"/>
        <w:spacing w:line="360" w:lineRule="auto"/>
        <w:ind w:right="96"/>
        <w:jc w:val="both"/>
        <w:rPr>
          <w:rFonts w:cs="Times New Roman"/>
          <w:szCs w:val="24"/>
        </w:rPr>
      </w:pPr>
      <w:r>
        <w:rPr>
          <w:rFonts w:cs="Times New Roman"/>
          <w:szCs w:val="24"/>
        </w:rPr>
        <w:t xml:space="preserve">Gautos ir perduotos kitiems viešojo sektoriaus subjektams finansavimo sumos, įstaigoje sąnaudomis nepripažįstamos. Perdavus finansavimo sumas kitiems subjektams, mažinamos gautos finansavimo sumos. </w:t>
      </w:r>
    </w:p>
    <w:p w:rsidR="00A004BD" w:rsidRDefault="00A004BD">
      <w:pPr>
        <w:widowControl w:val="0"/>
        <w:numPr>
          <w:ilvl w:val="0"/>
          <w:numId w:val="2"/>
        </w:numPr>
        <w:shd w:val="clear" w:color="auto" w:fill="FFFFFF"/>
        <w:tabs>
          <w:tab w:val="left" w:pos="1980"/>
        </w:tabs>
        <w:autoSpaceDE w:val="0"/>
        <w:spacing w:line="360" w:lineRule="auto"/>
        <w:ind w:right="96"/>
        <w:jc w:val="both"/>
        <w:rPr>
          <w:rFonts w:cs="Times New Roman"/>
          <w:szCs w:val="24"/>
        </w:rPr>
      </w:pPr>
      <w:r>
        <w:rPr>
          <w:rFonts w:cs="Times New Roman"/>
          <w:szCs w:val="24"/>
        </w:rPr>
        <w:t xml:space="preserve">Gautos ir perduotos ne viešojo sektoriaus subjektams finansavimo sumos, įskaitant suteiktas subsidijas, registruojamos kaip įstaigos sąnaudos, kartu pripažįstant finansavimo, kuris </w:t>
      </w:r>
      <w:r>
        <w:rPr>
          <w:rFonts w:cs="Times New Roman"/>
          <w:szCs w:val="24"/>
        </w:rPr>
        <w:lastRenderedPageBreak/>
        <w:t>buvo skirtas  šiam tikslui, pajamas.</w:t>
      </w:r>
    </w:p>
    <w:p w:rsidR="00A004BD" w:rsidRDefault="00A004BD">
      <w:pPr>
        <w:widowControl w:val="0"/>
        <w:numPr>
          <w:ilvl w:val="0"/>
          <w:numId w:val="2"/>
        </w:numPr>
        <w:shd w:val="clear" w:color="auto" w:fill="FFFFFF"/>
        <w:tabs>
          <w:tab w:val="left" w:pos="1980"/>
        </w:tabs>
        <w:autoSpaceDE w:val="0"/>
        <w:spacing w:line="360" w:lineRule="auto"/>
        <w:ind w:right="96"/>
        <w:jc w:val="both"/>
        <w:rPr>
          <w:rFonts w:cs="Times New Roman"/>
          <w:szCs w:val="24"/>
        </w:rPr>
      </w:pPr>
      <w:r>
        <w:rPr>
          <w:rFonts w:cs="Times New Roman"/>
          <w:szCs w:val="24"/>
        </w:rPr>
        <w:t>L/d „Žilvitis“ apskaitoje finansavimo sąnaudomis perduotos sumos pripažįstamos tik tuomet, kai įstaiga  kitiems viešojo sektoriaus subjektams perduoda savo uždirbtų pajamų lėšas.</w:t>
      </w:r>
    </w:p>
    <w:p w:rsidR="00A004BD" w:rsidRDefault="00A004BD">
      <w:pPr>
        <w:widowControl w:val="0"/>
        <w:shd w:val="clear" w:color="auto" w:fill="FFFFFF"/>
        <w:tabs>
          <w:tab w:val="left" w:pos="1260"/>
          <w:tab w:val="left" w:pos="1920"/>
          <w:tab w:val="left" w:pos="1980"/>
        </w:tabs>
        <w:autoSpaceDE w:val="0"/>
        <w:spacing w:line="360" w:lineRule="auto"/>
        <w:ind w:left="720" w:right="96"/>
        <w:jc w:val="both"/>
        <w:rPr>
          <w:rFonts w:cs="Times New Roman"/>
          <w:szCs w:val="24"/>
        </w:rPr>
      </w:pPr>
      <w:r>
        <w:rPr>
          <w:rFonts w:cs="Times New Roman"/>
          <w:szCs w:val="24"/>
        </w:rPr>
        <w:t xml:space="preserve">Detaliai įstaigos finansavimo sumų  apskaitos tvarka ir procedūros nustatytos 5-ame „Finansavimo sumų apskaitos“ tvarkos apraše. </w:t>
      </w:r>
      <w:bookmarkEnd w:id="22"/>
    </w:p>
    <w:p w:rsidR="00A004BD" w:rsidRDefault="00A004BD">
      <w:pPr>
        <w:widowControl w:val="0"/>
        <w:shd w:val="clear" w:color="auto" w:fill="FFFFFF"/>
        <w:tabs>
          <w:tab w:val="left" w:pos="1260"/>
          <w:tab w:val="left" w:pos="1920"/>
          <w:tab w:val="left" w:pos="1980"/>
        </w:tabs>
        <w:autoSpaceDE w:val="0"/>
        <w:spacing w:line="360" w:lineRule="auto"/>
        <w:ind w:left="720" w:right="96"/>
        <w:jc w:val="both"/>
        <w:rPr>
          <w:rFonts w:cs="Times New Roman"/>
          <w:szCs w:val="24"/>
        </w:rPr>
      </w:pPr>
    </w:p>
    <w:p w:rsidR="00A004BD" w:rsidRDefault="00A004BD">
      <w:pPr>
        <w:pStyle w:val="Antrat2"/>
        <w:numPr>
          <w:ilvl w:val="0"/>
          <w:numId w:val="0"/>
        </w:numPr>
        <w:spacing w:before="0" w:after="0" w:line="360" w:lineRule="auto"/>
        <w:jc w:val="center"/>
        <w:rPr>
          <w:rFonts w:cs="Times New Roman"/>
          <w:szCs w:val="24"/>
        </w:rPr>
      </w:pPr>
      <w:bookmarkStart w:id="24" w:name="__RefHeading___Toc286759984"/>
      <w:bookmarkEnd w:id="24"/>
      <w:r>
        <w:rPr>
          <w:rFonts w:ascii="Times New Roman" w:hAnsi="Times New Roman" w:cs="Times New Roman"/>
          <w:i w:val="0"/>
          <w:color w:val="000000"/>
          <w:spacing w:val="-1"/>
          <w:w w:val="103"/>
          <w:sz w:val="24"/>
        </w:rPr>
        <w:t>Finansiniai įsipareigojimai</w:t>
      </w:r>
    </w:p>
    <w:p w:rsidR="00A004BD" w:rsidRDefault="00A004BD">
      <w:pPr>
        <w:tabs>
          <w:tab w:val="left" w:pos="360"/>
          <w:tab w:val="left" w:pos="1260"/>
          <w:tab w:val="left" w:pos="5700"/>
        </w:tabs>
        <w:spacing w:line="360" w:lineRule="auto"/>
        <w:ind w:right="96" w:firstLine="1298"/>
        <w:rPr>
          <w:rFonts w:cs="Times New Roman"/>
          <w:szCs w:val="24"/>
        </w:rPr>
      </w:pPr>
    </w:p>
    <w:p w:rsidR="00A004BD" w:rsidRDefault="00A004BD">
      <w:pPr>
        <w:widowControl w:val="0"/>
        <w:numPr>
          <w:ilvl w:val="0"/>
          <w:numId w:val="2"/>
        </w:numPr>
        <w:shd w:val="clear" w:color="auto" w:fill="FFFFFF"/>
        <w:tabs>
          <w:tab w:val="left" w:pos="1980"/>
        </w:tabs>
        <w:autoSpaceDE w:val="0"/>
        <w:spacing w:line="360" w:lineRule="auto"/>
        <w:ind w:right="96"/>
        <w:jc w:val="both"/>
        <w:rPr>
          <w:rFonts w:cs="Times New Roman"/>
          <w:szCs w:val="24"/>
        </w:rPr>
      </w:pPr>
      <w:r>
        <w:rPr>
          <w:rFonts w:cs="Times New Roman"/>
          <w:szCs w:val="24"/>
        </w:rPr>
        <w:t>Finansinių įsipareigojimų apskaitos principai, metodai ir taisyklės nustatyti 17-ajame VSAFAS „Finansinis turtas ir finansiniai įsipareigojimai”, 18-ajame VSAFAS „Atidėjiniai, neapibrėžtieji įsipareigojimai, neapibrėžtasis turtas ir įvykiai pasibaigus ataskaitiniam laikotarpiui“ ir 19-ajame VSAFAS „Finansinė nuoma (lizingas) ir kitos turto perdavimo sutartys“.</w:t>
      </w:r>
    </w:p>
    <w:p w:rsidR="00A004BD" w:rsidRDefault="00A004BD">
      <w:pPr>
        <w:widowControl w:val="0"/>
        <w:numPr>
          <w:ilvl w:val="0"/>
          <w:numId w:val="2"/>
        </w:numPr>
        <w:shd w:val="clear" w:color="auto" w:fill="FFFFFF"/>
        <w:tabs>
          <w:tab w:val="left" w:pos="1980"/>
        </w:tabs>
        <w:autoSpaceDE w:val="0"/>
        <w:spacing w:line="360" w:lineRule="auto"/>
        <w:jc w:val="both"/>
        <w:rPr>
          <w:rFonts w:cs="Times New Roman"/>
          <w:szCs w:val="24"/>
        </w:rPr>
      </w:pPr>
      <w:r>
        <w:rPr>
          <w:rFonts w:cs="Times New Roman"/>
          <w:szCs w:val="24"/>
        </w:rPr>
        <w:t>l/d „Žilvitis“ visi įsipareigojimai yra finansiniai ir skirstomi į ilgalaikius ir trumpalaikius. Ilgalaikiams finansiniams įsipareigojimams priskiriama:</w:t>
      </w:r>
    </w:p>
    <w:p w:rsidR="00A004BD" w:rsidRDefault="00A004BD">
      <w:pPr>
        <w:widowControl w:val="0"/>
        <w:numPr>
          <w:ilvl w:val="1"/>
          <w:numId w:val="2"/>
        </w:numPr>
        <w:shd w:val="clear" w:color="auto" w:fill="FFFFFF"/>
        <w:tabs>
          <w:tab w:val="left" w:pos="540"/>
          <w:tab w:val="left" w:pos="1260"/>
        </w:tabs>
        <w:autoSpaceDE w:val="0"/>
        <w:spacing w:line="360" w:lineRule="auto"/>
        <w:ind w:left="1260" w:right="96" w:hanging="692"/>
        <w:jc w:val="both"/>
        <w:rPr>
          <w:rFonts w:cs="Times New Roman"/>
          <w:szCs w:val="24"/>
        </w:rPr>
      </w:pPr>
      <w:r>
        <w:rPr>
          <w:rFonts w:cs="Times New Roman"/>
          <w:szCs w:val="24"/>
        </w:rPr>
        <w:t>ilgalaikiai atidėjiniai;</w:t>
      </w:r>
    </w:p>
    <w:p w:rsidR="00A004BD" w:rsidRDefault="00A004BD">
      <w:pPr>
        <w:widowControl w:val="0"/>
        <w:numPr>
          <w:ilvl w:val="1"/>
          <w:numId w:val="2"/>
        </w:numPr>
        <w:shd w:val="clear" w:color="auto" w:fill="FFFFFF"/>
        <w:tabs>
          <w:tab w:val="left" w:pos="540"/>
          <w:tab w:val="left" w:pos="1260"/>
        </w:tabs>
        <w:autoSpaceDE w:val="0"/>
        <w:spacing w:line="360" w:lineRule="auto"/>
        <w:ind w:left="1260" w:right="96" w:hanging="692"/>
        <w:jc w:val="both"/>
        <w:rPr>
          <w:rFonts w:cs="Times New Roman"/>
          <w:szCs w:val="24"/>
        </w:rPr>
      </w:pPr>
      <w:r>
        <w:rPr>
          <w:rFonts w:cs="Times New Roman"/>
          <w:szCs w:val="24"/>
        </w:rPr>
        <w:t>ilgalaikės finansinės skolos;</w:t>
      </w:r>
    </w:p>
    <w:p w:rsidR="00A004BD" w:rsidRDefault="00A004BD">
      <w:pPr>
        <w:widowControl w:val="0"/>
        <w:numPr>
          <w:ilvl w:val="1"/>
          <w:numId w:val="2"/>
        </w:numPr>
        <w:shd w:val="clear" w:color="auto" w:fill="FFFFFF"/>
        <w:tabs>
          <w:tab w:val="left" w:pos="540"/>
          <w:tab w:val="left" w:pos="1260"/>
        </w:tabs>
        <w:autoSpaceDE w:val="0"/>
        <w:spacing w:line="360" w:lineRule="auto"/>
        <w:ind w:left="1260" w:right="96" w:hanging="692"/>
        <w:jc w:val="both"/>
        <w:rPr>
          <w:rFonts w:cs="Times New Roman"/>
          <w:szCs w:val="24"/>
        </w:rPr>
      </w:pPr>
      <w:r>
        <w:rPr>
          <w:rFonts w:cs="Times New Roman"/>
          <w:szCs w:val="24"/>
        </w:rPr>
        <w:t>kiti ilgalaikiai įsipareigojimai;</w:t>
      </w:r>
    </w:p>
    <w:p w:rsidR="00A004BD" w:rsidRDefault="00A004BD">
      <w:pPr>
        <w:widowControl w:val="0"/>
        <w:numPr>
          <w:ilvl w:val="0"/>
          <w:numId w:val="2"/>
        </w:numPr>
        <w:shd w:val="clear" w:color="auto" w:fill="FFFFFF"/>
        <w:tabs>
          <w:tab w:val="left" w:pos="1980"/>
        </w:tabs>
        <w:autoSpaceDE w:val="0"/>
        <w:spacing w:line="360" w:lineRule="auto"/>
        <w:ind w:right="96"/>
        <w:jc w:val="both"/>
        <w:rPr>
          <w:rFonts w:cs="Times New Roman"/>
          <w:szCs w:val="24"/>
        </w:rPr>
      </w:pPr>
      <w:r>
        <w:rPr>
          <w:rFonts w:cs="Times New Roman"/>
          <w:szCs w:val="24"/>
        </w:rPr>
        <w:t>Trumpalaikiams finansiniams įsipareigojimams priskiriama:</w:t>
      </w:r>
    </w:p>
    <w:p w:rsidR="00A004BD" w:rsidRDefault="00A004BD">
      <w:pPr>
        <w:widowControl w:val="0"/>
        <w:numPr>
          <w:ilvl w:val="1"/>
          <w:numId w:val="2"/>
        </w:numPr>
        <w:shd w:val="clear" w:color="auto" w:fill="FFFFFF"/>
        <w:tabs>
          <w:tab w:val="left" w:pos="540"/>
          <w:tab w:val="left" w:pos="1260"/>
        </w:tabs>
        <w:autoSpaceDE w:val="0"/>
        <w:spacing w:line="360" w:lineRule="auto"/>
        <w:ind w:right="96"/>
        <w:jc w:val="both"/>
        <w:rPr>
          <w:rFonts w:cs="Times New Roman"/>
          <w:szCs w:val="24"/>
        </w:rPr>
      </w:pPr>
      <w:r>
        <w:rPr>
          <w:rFonts w:cs="Times New Roman"/>
          <w:szCs w:val="24"/>
        </w:rPr>
        <w:t>ilgalaikių atidėjinių einamųjų metų dalis ir trumpalaikiai atidėjiniai;</w:t>
      </w:r>
    </w:p>
    <w:p w:rsidR="00A004BD" w:rsidRDefault="00A004BD">
      <w:pPr>
        <w:widowControl w:val="0"/>
        <w:numPr>
          <w:ilvl w:val="1"/>
          <w:numId w:val="2"/>
        </w:numPr>
        <w:shd w:val="clear" w:color="auto" w:fill="FFFFFF"/>
        <w:tabs>
          <w:tab w:val="left" w:pos="540"/>
          <w:tab w:val="left" w:pos="1260"/>
        </w:tabs>
        <w:autoSpaceDE w:val="0"/>
        <w:spacing w:line="360" w:lineRule="auto"/>
        <w:ind w:right="96"/>
        <w:jc w:val="both"/>
        <w:rPr>
          <w:rFonts w:cs="Times New Roman"/>
          <w:szCs w:val="24"/>
        </w:rPr>
      </w:pPr>
      <w:r>
        <w:rPr>
          <w:rFonts w:cs="Times New Roman"/>
          <w:szCs w:val="24"/>
        </w:rPr>
        <w:t>ilgalaikių įsipareigojimų einamųjų metų dalis;</w:t>
      </w:r>
    </w:p>
    <w:p w:rsidR="00A004BD" w:rsidRDefault="00A004BD">
      <w:pPr>
        <w:widowControl w:val="0"/>
        <w:numPr>
          <w:ilvl w:val="1"/>
          <w:numId w:val="2"/>
        </w:numPr>
        <w:shd w:val="clear" w:color="auto" w:fill="FFFFFF"/>
        <w:tabs>
          <w:tab w:val="left" w:pos="540"/>
          <w:tab w:val="left" w:pos="1260"/>
        </w:tabs>
        <w:autoSpaceDE w:val="0"/>
        <w:spacing w:line="360" w:lineRule="auto"/>
        <w:ind w:right="96"/>
        <w:jc w:val="both"/>
        <w:rPr>
          <w:rFonts w:cs="Times New Roman"/>
          <w:szCs w:val="24"/>
        </w:rPr>
      </w:pPr>
      <w:r>
        <w:rPr>
          <w:rFonts w:cs="Times New Roman"/>
          <w:szCs w:val="24"/>
        </w:rPr>
        <w:t>trumpalaikiai finansiniai įsipareigojimai;</w:t>
      </w:r>
    </w:p>
    <w:p w:rsidR="00A004BD" w:rsidRDefault="00A004BD">
      <w:pPr>
        <w:widowControl w:val="0"/>
        <w:numPr>
          <w:ilvl w:val="1"/>
          <w:numId w:val="2"/>
        </w:numPr>
        <w:shd w:val="clear" w:color="auto" w:fill="FFFFFF"/>
        <w:tabs>
          <w:tab w:val="left" w:pos="540"/>
          <w:tab w:val="left" w:pos="1260"/>
        </w:tabs>
        <w:autoSpaceDE w:val="0"/>
        <w:spacing w:line="360" w:lineRule="auto"/>
        <w:ind w:right="96"/>
        <w:jc w:val="both"/>
        <w:rPr>
          <w:rFonts w:cs="Times New Roman"/>
          <w:szCs w:val="24"/>
        </w:rPr>
      </w:pPr>
      <w:r>
        <w:rPr>
          <w:rFonts w:cs="Times New Roman"/>
          <w:szCs w:val="24"/>
        </w:rPr>
        <w:t>pervestinos  finansavimo sumos;</w:t>
      </w:r>
    </w:p>
    <w:p w:rsidR="00A004BD" w:rsidRDefault="00A004BD">
      <w:pPr>
        <w:widowControl w:val="0"/>
        <w:numPr>
          <w:ilvl w:val="1"/>
          <w:numId w:val="2"/>
        </w:numPr>
        <w:shd w:val="clear" w:color="auto" w:fill="FFFFFF"/>
        <w:tabs>
          <w:tab w:val="left" w:pos="540"/>
          <w:tab w:val="left" w:pos="1260"/>
        </w:tabs>
        <w:autoSpaceDE w:val="0"/>
        <w:spacing w:line="360" w:lineRule="auto"/>
        <w:ind w:right="96"/>
        <w:jc w:val="both"/>
        <w:rPr>
          <w:rFonts w:cs="Times New Roman"/>
          <w:szCs w:val="24"/>
        </w:rPr>
      </w:pPr>
      <w:r>
        <w:rPr>
          <w:rFonts w:cs="Times New Roman"/>
          <w:szCs w:val="24"/>
        </w:rPr>
        <w:t>pervestinos sumos į biudžetus, fondus ir kitiems subjektams;</w:t>
      </w:r>
    </w:p>
    <w:p w:rsidR="00A004BD" w:rsidRDefault="00A004BD">
      <w:pPr>
        <w:widowControl w:val="0"/>
        <w:numPr>
          <w:ilvl w:val="1"/>
          <w:numId w:val="2"/>
        </w:numPr>
        <w:shd w:val="clear" w:color="auto" w:fill="FFFFFF"/>
        <w:tabs>
          <w:tab w:val="left" w:pos="540"/>
          <w:tab w:val="left" w:pos="1260"/>
        </w:tabs>
        <w:autoSpaceDE w:val="0"/>
        <w:spacing w:line="360" w:lineRule="auto"/>
        <w:ind w:right="96"/>
        <w:jc w:val="both"/>
        <w:rPr>
          <w:rFonts w:cs="Times New Roman"/>
          <w:szCs w:val="24"/>
        </w:rPr>
      </w:pPr>
      <w:r>
        <w:rPr>
          <w:rFonts w:cs="Times New Roman"/>
          <w:szCs w:val="24"/>
        </w:rPr>
        <w:t>mokėtinos sumos, susijusios su vykdoma veikla;</w:t>
      </w:r>
    </w:p>
    <w:p w:rsidR="00A004BD" w:rsidRDefault="00A004BD">
      <w:pPr>
        <w:widowControl w:val="0"/>
        <w:numPr>
          <w:ilvl w:val="1"/>
          <w:numId w:val="2"/>
        </w:numPr>
        <w:shd w:val="clear" w:color="auto" w:fill="FFFFFF"/>
        <w:tabs>
          <w:tab w:val="left" w:pos="540"/>
          <w:tab w:val="left" w:pos="1260"/>
        </w:tabs>
        <w:autoSpaceDE w:val="0"/>
        <w:spacing w:line="360" w:lineRule="auto"/>
        <w:ind w:right="96"/>
        <w:jc w:val="both"/>
        <w:rPr>
          <w:rFonts w:cs="Times New Roman"/>
          <w:szCs w:val="24"/>
        </w:rPr>
      </w:pPr>
      <w:r>
        <w:rPr>
          <w:rFonts w:cs="Times New Roman"/>
          <w:szCs w:val="24"/>
        </w:rPr>
        <w:t>kiti trumpalaikiai finansiniai įsipareigojimai.</w:t>
      </w:r>
    </w:p>
    <w:p w:rsidR="00A004BD" w:rsidRDefault="00A004BD">
      <w:pPr>
        <w:widowControl w:val="0"/>
        <w:numPr>
          <w:ilvl w:val="0"/>
          <w:numId w:val="2"/>
        </w:numPr>
        <w:shd w:val="clear" w:color="auto" w:fill="FFFFFF"/>
        <w:tabs>
          <w:tab w:val="left" w:pos="1980"/>
        </w:tabs>
        <w:autoSpaceDE w:val="0"/>
        <w:spacing w:line="360" w:lineRule="auto"/>
        <w:ind w:right="96"/>
        <w:jc w:val="both"/>
        <w:rPr>
          <w:rFonts w:cs="Times New Roman"/>
          <w:szCs w:val="24"/>
        </w:rPr>
      </w:pPr>
      <w:r>
        <w:rPr>
          <w:rFonts w:cs="Times New Roman"/>
          <w:szCs w:val="24"/>
        </w:rPr>
        <w:t xml:space="preserve">Pirminio pripažinimo metu finansiniai įsipareigojimai įvertinami įsigijimo savikaina. Vėliau šie įsipareigojimai įvertinami: </w:t>
      </w:r>
    </w:p>
    <w:p w:rsidR="00A004BD" w:rsidRDefault="00A004BD">
      <w:pPr>
        <w:widowControl w:val="0"/>
        <w:numPr>
          <w:ilvl w:val="1"/>
          <w:numId w:val="2"/>
        </w:numPr>
        <w:shd w:val="clear" w:color="auto" w:fill="FFFFFF"/>
        <w:tabs>
          <w:tab w:val="left" w:pos="540"/>
          <w:tab w:val="left" w:pos="1260"/>
        </w:tabs>
        <w:autoSpaceDE w:val="0"/>
        <w:spacing w:line="360" w:lineRule="auto"/>
        <w:ind w:right="96"/>
        <w:jc w:val="both"/>
        <w:rPr>
          <w:rFonts w:cs="Times New Roman"/>
          <w:szCs w:val="24"/>
        </w:rPr>
      </w:pPr>
      <w:r>
        <w:rPr>
          <w:rFonts w:cs="Times New Roman"/>
          <w:szCs w:val="24"/>
        </w:rPr>
        <w:t xml:space="preserve">susiję su rinkos kainomis – tikrąja verte; </w:t>
      </w:r>
    </w:p>
    <w:p w:rsidR="00A004BD" w:rsidRDefault="00A004BD">
      <w:pPr>
        <w:widowControl w:val="0"/>
        <w:numPr>
          <w:ilvl w:val="1"/>
          <w:numId w:val="2"/>
        </w:numPr>
        <w:shd w:val="clear" w:color="auto" w:fill="FFFFFF"/>
        <w:tabs>
          <w:tab w:val="left" w:pos="540"/>
          <w:tab w:val="left" w:pos="1260"/>
        </w:tabs>
        <w:autoSpaceDE w:val="0"/>
        <w:spacing w:line="360" w:lineRule="auto"/>
        <w:ind w:right="96"/>
        <w:jc w:val="both"/>
        <w:rPr>
          <w:rFonts w:cs="Times New Roman"/>
          <w:szCs w:val="24"/>
        </w:rPr>
      </w:pPr>
      <w:r>
        <w:rPr>
          <w:rFonts w:cs="Times New Roman"/>
          <w:szCs w:val="24"/>
        </w:rPr>
        <w:t xml:space="preserve"> iš suteiktų garantijų kilę finansiniai įsipareigojimai – tikrąja verte;</w:t>
      </w:r>
    </w:p>
    <w:p w:rsidR="00A004BD" w:rsidRDefault="00A004BD">
      <w:pPr>
        <w:widowControl w:val="0"/>
        <w:numPr>
          <w:ilvl w:val="1"/>
          <w:numId w:val="2"/>
        </w:numPr>
        <w:shd w:val="clear" w:color="auto" w:fill="FFFFFF"/>
        <w:tabs>
          <w:tab w:val="left" w:pos="540"/>
          <w:tab w:val="left" w:pos="1260"/>
        </w:tabs>
        <w:autoSpaceDE w:val="0"/>
        <w:spacing w:line="360" w:lineRule="auto"/>
        <w:ind w:right="96"/>
        <w:jc w:val="both"/>
        <w:rPr>
          <w:rFonts w:cs="Times New Roman"/>
          <w:szCs w:val="24"/>
        </w:rPr>
      </w:pPr>
      <w:r>
        <w:rPr>
          <w:rFonts w:cs="Times New Roman"/>
          <w:szCs w:val="24"/>
        </w:rPr>
        <w:t>kiti ilgalaikiai finansiniai įsipareigojimai – amortizuota savikaina;</w:t>
      </w:r>
    </w:p>
    <w:p w:rsidR="00A004BD" w:rsidRDefault="00A004BD">
      <w:pPr>
        <w:widowControl w:val="0"/>
        <w:numPr>
          <w:ilvl w:val="1"/>
          <w:numId w:val="2"/>
        </w:numPr>
        <w:shd w:val="clear" w:color="auto" w:fill="FFFFFF"/>
        <w:tabs>
          <w:tab w:val="left" w:pos="540"/>
          <w:tab w:val="left" w:pos="1260"/>
        </w:tabs>
        <w:autoSpaceDE w:val="0"/>
        <w:spacing w:line="360" w:lineRule="auto"/>
        <w:ind w:right="96"/>
        <w:jc w:val="both"/>
        <w:rPr>
          <w:rFonts w:cs="Times New Roman"/>
          <w:szCs w:val="24"/>
        </w:rPr>
      </w:pPr>
      <w:r>
        <w:rPr>
          <w:rFonts w:cs="Times New Roman"/>
          <w:szCs w:val="24"/>
        </w:rPr>
        <w:t>kiti trumpalaikiai finansiniai įsipareigojimai – įsigijimo savikaina.</w:t>
      </w:r>
    </w:p>
    <w:p w:rsidR="00A004BD" w:rsidRDefault="00A004BD">
      <w:pPr>
        <w:widowControl w:val="0"/>
        <w:numPr>
          <w:ilvl w:val="0"/>
          <w:numId w:val="2"/>
        </w:numPr>
        <w:shd w:val="clear" w:color="auto" w:fill="FFFFFF"/>
        <w:tabs>
          <w:tab w:val="left" w:pos="567"/>
          <w:tab w:val="left" w:pos="851"/>
        </w:tabs>
        <w:autoSpaceDE w:val="0"/>
        <w:spacing w:line="360" w:lineRule="auto"/>
        <w:ind w:right="96" w:hanging="77"/>
        <w:rPr>
          <w:rFonts w:cs="Times New Roman"/>
          <w:szCs w:val="24"/>
        </w:rPr>
      </w:pPr>
      <w:r>
        <w:rPr>
          <w:rFonts w:cs="Times New Roman"/>
          <w:szCs w:val="24"/>
        </w:rPr>
        <w:t>Įstaigos  finansinių įsipareigojimų apskaitos ypatumai detaliai nustatyti  7-ame „Ilgalaikių ir trumpalaikių įsipareigojimų apskaitos“ tvarkos apraše.</w:t>
      </w:r>
    </w:p>
    <w:p w:rsidR="00A004BD" w:rsidRDefault="00A004BD">
      <w:pPr>
        <w:widowControl w:val="0"/>
        <w:shd w:val="clear" w:color="auto" w:fill="FFFFFF"/>
        <w:tabs>
          <w:tab w:val="left" w:pos="0"/>
          <w:tab w:val="left" w:pos="1980"/>
        </w:tabs>
        <w:autoSpaceDE w:val="0"/>
        <w:spacing w:line="360" w:lineRule="auto"/>
        <w:ind w:left="2444" w:right="96"/>
        <w:rPr>
          <w:rFonts w:cs="Times New Roman"/>
          <w:szCs w:val="24"/>
        </w:rPr>
      </w:pPr>
    </w:p>
    <w:p w:rsidR="00A004BD" w:rsidRDefault="00A004BD">
      <w:pPr>
        <w:pStyle w:val="Antrat2"/>
        <w:numPr>
          <w:ilvl w:val="0"/>
          <w:numId w:val="0"/>
        </w:numPr>
        <w:spacing w:before="0" w:after="0" w:line="360" w:lineRule="auto"/>
        <w:jc w:val="center"/>
        <w:rPr>
          <w:rFonts w:ascii="Times New Roman" w:hAnsi="Times New Roman" w:cs="Times New Roman"/>
          <w:i w:val="0"/>
          <w:color w:val="000000"/>
          <w:spacing w:val="-1"/>
          <w:w w:val="103"/>
          <w:sz w:val="24"/>
        </w:rPr>
      </w:pPr>
      <w:bookmarkStart w:id="25" w:name="__RefHeading___Toc286759985"/>
      <w:bookmarkEnd w:id="25"/>
      <w:r>
        <w:rPr>
          <w:rFonts w:ascii="Times New Roman" w:hAnsi="Times New Roman" w:cs="Times New Roman"/>
          <w:i w:val="0"/>
          <w:color w:val="000000"/>
          <w:spacing w:val="-1"/>
          <w:w w:val="103"/>
          <w:sz w:val="24"/>
        </w:rPr>
        <w:lastRenderedPageBreak/>
        <w:t>Atidėjiniai</w:t>
      </w:r>
    </w:p>
    <w:p w:rsidR="00A004BD" w:rsidRDefault="00A004BD">
      <w:pPr>
        <w:pStyle w:val="Antrat2"/>
        <w:numPr>
          <w:ilvl w:val="0"/>
          <w:numId w:val="0"/>
        </w:numPr>
        <w:spacing w:before="0" w:after="0" w:line="360" w:lineRule="auto"/>
        <w:ind w:left="360"/>
        <w:rPr>
          <w:rFonts w:ascii="Times New Roman" w:hAnsi="Times New Roman" w:cs="Times New Roman"/>
          <w:i w:val="0"/>
          <w:color w:val="000000"/>
          <w:spacing w:val="-1"/>
          <w:w w:val="103"/>
          <w:sz w:val="24"/>
        </w:rPr>
      </w:pPr>
    </w:p>
    <w:p w:rsidR="00A004BD" w:rsidRDefault="00A004BD">
      <w:pPr>
        <w:widowControl w:val="0"/>
        <w:numPr>
          <w:ilvl w:val="0"/>
          <w:numId w:val="2"/>
        </w:numPr>
        <w:shd w:val="clear" w:color="auto" w:fill="FFFFFF"/>
        <w:tabs>
          <w:tab w:val="left" w:pos="1980"/>
        </w:tabs>
        <w:autoSpaceDE w:val="0"/>
        <w:spacing w:line="360" w:lineRule="auto"/>
        <w:ind w:right="96"/>
        <w:jc w:val="both"/>
        <w:rPr>
          <w:rFonts w:cs="Times New Roman"/>
          <w:szCs w:val="24"/>
        </w:rPr>
      </w:pPr>
      <w:r>
        <w:rPr>
          <w:rFonts w:cs="Times New Roman"/>
          <w:szCs w:val="24"/>
        </w:rPr>
        <w:t xml:space="preserve">Atidėjiniai pripažįstami ir registruojami apskaitoje tada ir tik tada, kai dėl įvykio praeityje įstaiga turi dabartinę teisinę prievolę ar neatšaukiamą pasižadėjimą, ir tikėtina, kad jam įvykdyti bus reikalingi ištekliai, o įsipareigojimo suma gali būti patikimai įvertinta. Jei patenkinamos ne visos šios sąlygos, atidėjiniai nėra pripažįstami, o tiktai informacija apie susijusį su tikėtina sumokėti suma neapibrėžtąjį įsipareigojimą yra pateikiama finansinių ataskaitų aiškinamajame rašte. Atidėjiniai yra peržiūrimi paskutinę kiekvieno ataskaitinio laikotarpio dieną ir koreguojami, atsižvelgiant į naujus įvykius ar aplinkybes, kad parodytų tiksliausią dabartinį įvertinimą. </w:t>
      </w:r>
    </w:p>
    <w:p w:rsidR="00A004BD" w:rsidRDefault="00A004BD">
      <w:pPr>
        <w:widowControl w:val="0"/>
        <w:numPr>
          <w:ilvl w:val="0"/>
          <w:numId w:val="2"/>
        </w:numPr>
        <w:shd w:val="clear" w:color="auto" w:fill="FFFFFF"/>
        <w:tabs>
          <w:tab w:val="left" w:pos="1980"/>
        </w:tabs>
        <w:autoSpaceDE w:val="0"/>
        <w:spacing w:line="360" w:lineRule="auto"/>
        <w:ind w:right="96"/>
        <w:jc w:val="both"/>
        <w:rPr>
          <w:rFonts w:cs="Times New Roman"/>
          <w:szCs w:val="24"/>
        </w:rPr>
      </w:pPr>
      <w:r>
        <w:rPr>
          <w:rFonts w:cs="Times New Roman"/>
          <w:szCs w:val="24"/>
        </w:rPr>
        <w:t xml:space="preserve">Įstaigos  atidėjinių apskaitos ypatumai nustatyti 9-ame „Sąnaudų apskaitos“ tvarkos apraše. </w:t>
      </w:r>
    </w:p>
    <w:p w:rsidR="00A004BD" w:rsidRDefault="00A004BD">
      <w:pPr>
        <w:widowControl w:val="0"/>
        <w:shd w:val="clear" w:color="auto" w:fill="FFFFFF"/>
        <w:tabs>
          <w:tab w:val="left" w:pos="360"/>
          <w:tab w:val="left" w:pos="1980"/>
        </w:tabs>
        <w:autoSpaceDE w:val="0"/>
        <w:spacing w:line="360" w:lineRule="auto"/>
        <w:ind w:left="1942" w:right="96"/>
        <w:jc w:val="both"/>
        <w:rPr>
          <w:rFonts w:cs="Times New Roman"/>
          <w:szCs w:val="24"/>
        </w:rPr>
      </w:pPr>
    </w:p>
    <w:p w:rsidR="00A004BD" w:rsidRDefault="00A004BD">
      <w:pPr>
        <w:pStyle w:val="Antrat2"/>
        <w:numPr>
          <w:ilvl w:val="0"/>
          <w:numId w:val="0"/>
        </w:numPr>
        <w:spacing w:before="0" w:after="0" w:line="360" w:lineRule="auto"/>
        <w:jc w:val="center"/>
        <w:rPr>
          <w:rFonts w:ascii="Times New Roman" w:hAnsi="Times New Roman" w:cs="Times New Roman"/>
          <w:i w:val="0"/>
          <w:color w:val="000000"/>
          <w:spacing w:val="-1"/>
          <w:w w:val="103"/>
          <w:sz w:val="24"/>
        </w:rPr>
      </w:pPr>
      <w:bookmarkStart w:id="26" w:name="__RefHeading___Toc286759986"/>
      <w:bookmarkEnd w:id="26"/>
      <w:r>
        <w:rPr>
          <w:rFonts w:ascii="Times New Roman" w:hAnsi="Times New Roman" w:cs="Times New Roman"/>
          <w:i w:val="0"/>
          <w:color w:val="000000"/>
          <w:spacing w:val="-1"/>
          <w:w w:val="103"/>
          <w:sz w:val="24"/>
        </w:rPr>
        <w:t>Finansinė nuoma (lizingas)</w:t>
      </w:r>
    </w:p>
    <w:p w:rsidR="00A004BD" w:rsidRDefault="00A004BD">
      <w:pPr>
        <w:pStyle w:val="Antrat2"/>
        <w:numPr>
          <w:ilvl w:val="0"/>
          <w:numId w:val="0"/>
        </w:numPr>
        <w:spacing w:before="0" w:after="0" w:line="360" w:lineRule="auto"/>
        <w:ind w:left="360"/>
        <w:rPr>
          <w:rFonts w:ascii="Times New Roman" w:hAnsi="Times New Roman" w:cs="Times New Roman"/>
          <w:i w:val="0"/>
          <w:color w:val="000000"/>
          <w:spacing w:val="-1"/>
          <w:w w:val="103"/>
          <w:sz w:val="24"/>
        </w:rPr>
      </w:pPr>
    </w:p>
    <w:p w:rsidR="00A004BD" w:rsidRDefault="00A004BD">
      <w:pPr>
        <w:widowControl w:val="0"/>
        <w:numPr>
          <w:ilvl w:val="0"/>
          <w:numId w:val="2"/>
        </w:numPr>
        <w:shd w:val="clear" w:color="auto" w:fill="FFFFFF"/>
        <w:tabs>
          <w:tab w:val="left" w:pos="1980"/>
        </w:tabs>
        <w:autoSpaceDE w:val="0"/>
        <w:spacing w:line="360" w:lineRule="auto"/>
        <w:ind w:right="96"/>
        <w:jc w:val="both"/>
        <w:rPr>
          <w:rFonts w:cs="Times New Roman"/>
          <w:szCs w:val="24"/>
        </w:rPr>
      </w:pPr>
      <w:r>
        <w:rPr>
          <w:rFonts w:cs="Times New Roman"/>
          <w:szCs w:val="24"/>
        </w:rPr>
        <w:t>Nuomos sutartims taikomas turinio viršenybės prieš formą principas. Ar nuoma bus laikoma veiklos nuoma, ar finansine nuoma, priklauso ne nuo sutarties formos, o nuo jos turinio ir ekonominės prasmės.</w:t>
      </w:r>
    </w:p>
    <w:p w:rsidR="00A004BD" w:rsidRDefault="00A004BD">
      <w:pPr>
        <w:widowControl w:val="0"/>
        <w:numPr>
          <w:ilvl w:val="0"/>
          <w:numId w:val="2"/>
        </w:numPr>
        <w:shd w:val="clear" w:color="auto" w:fill="FFFFFF"/>
        <w:tabs>
          <w:tab w:val="left" w:pos="1980"/>
        </w:tabs>
        <w:autoSpaceDE w:val="0"/>
        <w:spacing w:line="360" w:lineRule="auto"/>
        <w:ind w:right="96"/>
        <w:jc w:val="both"/>
        <w:rPr>
          <w:rFonts w:cs="Times New Roman"/>
          <w:szCs w:val="24"/>
        </w:rPr>
      </w:pPr>
      <w:r>
        <w:rPr>
          <w:rFonts w:cs="Times New Roman"/>
          <w:szCs w:val="24"/>
        </w:rPr>
        <w:t xml:space="preserve">Nuomos sandoriai grupuojami į veiklos nuomos ar finansinės nuomos (lizingo) sandorius, atsižvelgiant į tai, kiek turto nuosavybės teikiamos naudos ir rizikos tenka nuomotojui ir kiek nuomininkui. </w:t>
      </w:r>
    </w:p>
    <w:p w:rsidR="00A004BD" w:rsidRDefault="00A004BD">
      <w:pPr>
        <w:widowControl w:val="0"/>
        <w:numPr>
          <w:ilvl w:val="0"/>
          <w:numId w:val="2"/>
        </w:numPr>
        <w:shd w:val="clear" w:color="auto" w:fill="FFFFFF"/>
        <w:tabs>
          <w:tab w:val="left" w:pos="1980"/>
        </w:tabs>
        <w:autoSpaceDE w:val="0"/>
        <w:spacing w:line="360" w:lineRule="auto"/>
        <w:ind w:right="96"/>
        <w:jc w:val="both"/>
        <w:rPr>
          <w:rFonts w:cs="Times New Roman"/>
          <w:szCs w:val="24"/>
        </w:rPr>
      </w:pPr>
      <w:r>
        <w:rPr>
          <w:rFonts w:cs="Times New Roman"/>
          <w:szCs w:val="24"/>
        </w:rPr>
        <w:t>Nuoma yra laikoma finansine nuoma, jei sutartyje yra nustatyta, kad:</w:t>
      </w:r>
    </w:p>
    <w:p w:rsidR="00A004BD" w:rsidRDefault="00A004BD">
      <w:pPr>
        <w:widowControl w:val="0"/>
        <w:numPr>
          <w:ilvl w:val="1"/>
          <w:numId w:val="2"/>
        </w:numPr>
        <w:shd w:val="clear" w:color="auto" w:fill="FFFFFF"/>
        <w:tabs>
          <w:tab w:val="left" w:pos="540"/>
          <w:tab w:val="left" w:pos="1260"/>
        </w:tabs>
        <w:autoSpaceDE w:val="0"/>
        <w:spacing w:line="360" w:lineRule="auto"/>
        <w:ind w:right="96"/>
        <w:jc w:val="both"/>
        <w:rPr>
          <w:rFonts w:cs="Times New Roman"/>
          <w:szCs w:val="24"/>
        </w:rPr>
      </w:pPr>
      <w:r>
        <w:rPr>
          <w:rFonts w:cs="Times New Roman"/>
          <w:szCs w:val="24"/>
        </w:rPr>
        <w:t>nuomos laikotarpio pabaigoje nuomotojas perduoda nuomininkui nuosavybės teisę;</w:t>
      </w:r>
    </w:p>
    <w:p w:rsidR="00A004BD" w:rsidRDefault="00A004BD">
      <w:pPr>
        <w:widowControl w:val="0"/>
        <w:numPr>
          <w:ilvl w:val="1"/>
          <w:numId w:val="2"/>
        </w:numPr>
        <w:shd w:val="clear" w:color="auto" w:fill="FFFFFF"/>
        <w:tabs>
          <w:tab w:val="left" w:pos="540"/>
          <w:tab w:val="left" w:pos="1260"/>
        </w:tabs>
        <w:autoSpaceDE w:val="0"/>
        <w:spacing w:line="360" w:lineRule="auto"/>
        <w:ind w:right="96"/>
        <w:jc w:val="both"/>
        <w:rPr>
          <w:rFonts w:cs="Times New Roman"/>
          <w:szCs w:val="24"/>
        </w:rPr>
      </w:pPr>
      <w:r>
        <w:rPr>
          <w:rFonts w:cs="Times New Roman"/>
          <w:szCs w:val="24"/>
        </w:rPr>
        <w:t>nuomos laikotarpio pabaigoje nuomininkas turi teisę įsigyti turtą už kainą, kuri, tikimasi, reikšmingai mažesnė už jo tikrąją vertę nuomos laikotarpio pabaigoje, ir nuomos laikotarpio pradžioje labai tikėtina, kad šia teise bus pasinaudota;</w:t>
      </w:r>
    </w:p>
    <w:p w:rsidR="00A004BD" w:rsidRDefault="00A004BD">
      <w:pPr>
        <w:widowControl w:val="0"/>
        <w:numPr>
          <w:ilvl w:val="1"/>
          <w:numId w:val="2"/>
        </w:numPr>
        <w:shd w:val="clear" w:color="auto" w:fill="FFFFFF"/>
        <w:tabs>
          <w:tab w:val="left" w:pos="540"/>
          <w:tab w:val="left" w:pos="1260"/>
        </w:tabs>
        <w:autoSpaceDE w:val="0"/>
        <w:spacing w:line="360" w:lineRule="auto"/>
        <w:ind w:right="96"/>
        <w:jc w:val="both"/>
        <w:rPr>
          <w:rFonts w:cs="Times New Roman"/>
          <w:szCs w:val="24"/>
        </w:rPr>
      </w:pPr>
      <w:r>
        <w:rPr>
          <w:rFonts w:cs="Times New Roman"/>
          <w:szCs w:val="24"/>
        </w:rPr>
        <w:t>nuomos laikotarpis apima lygią 75 procentams ar ilgesnę nei 75 procentai turto ekonominio naudingumo tarnavimo laiko dalį, net jei turto nuosavybės teisės nenumatoma perduoti;</w:t>
      </w:r>
    </w:p>
    <w:p w:rsidR="00A004BD" w:rsidRDefault="00A004BD">
      <w:pPr>
        <w:widowControl w:val="0"/>
        <w:numPr>
          <w:ilvl w:val="1"/>
          <w:numId w:val="2"/>
        </w:numPr>
        <w:shd w:val="clear" w:color="auto" w:fill="FFFFFF"/>
        <w:tabs>
          <w:tab w:val="left" w:pos="540"/>
          <w:tab w:val="left" w:pos="1260"/>
        </w:tabs>
        <w:autoSpaceDE w:val="0"/>
        <w:spacing w:line="360" w:lineRule="auto"/>
        <w:ind w:right="96"/>
        <w:jc w:val="both"/>
        <w:rPr>
          <w:rFonts w:cs="Times New Roman"/>
          <w:szCs w:val="24"/>
        </w:rPr>
      </w:pPr>
      <w:r>
        <w:rPr>
          <w:rFonts w:cs="Times New Roman"/>
          <w:szCs w:val="24"/>
        </w:rPr>
        <w:t>nuomos laikotarpio pradžioje dabartinė pagrindinių nuomos įmokų vertė sudaro ne mažiau kaip 90 procentų nuomojamo turto tikrosios vertės;</w:t>
      </w:r>
    </w:p>
    <w:p w:rsidR="00A004BD" w:rsidRDefault="00A004BD">
      <w:pPr>
        <w:widowControl w:val="0"/>
        <w:numPr>
          <w:ilvl w:val="1"/>
          <w:numId w:val="2"/>
        </w:numPr>
        <w:shd w:val="clear" w:color="auto" w:fill="FFFFFF"/>
        <w:tabs>
          <w:tab w:val="left" w:pos="540"/>
          <w:tab w:val="left" w:pos="1260"/>
        </w:tabs>
        <w:autoSpaceDE w:val="0"/>
        <w:spacing w:line="360" w:lineRule="auto"/>
        <w:ind w:right="96"/>
        <w:jc w:val="both"/>
        <w:rPr>
          <w:rFonts w:cs="Times New Roman"/>
          <w:szCs w:val="24"/>
        </w:rPr>
      </w:pPr>
      <w:r>
        <w:rPr>
          <w:rFonts w:cs="Times New Roman"/>
          <w:szCs w:val="24"/>
        </w:rPr>
        <w:t xml:space="preserve">nuomojamas turtas yra specifinės paskirties, šio turto savybės ir paskirtis negali būti laisvai pakeičiamos ir, neatlikus didesnių pakeitimų, juo naudotis galėtų tik šis nuomininkas. </w:t>
      </w:r>
    </w:p>
    <w:p w:rsidR="00A004BD" w:rsidRDefault="00A004BD">
      <w:pPr>
        <w:widowControl w:val="0"/>
        <w:numPr>
          <w:ilvl w:val="0"/>
          <w:numId w:val="2"/>
        </w:numPr>
        <w:shd w:val="clear" w:color="auto" w:fill="FFFFFF"/>
        <w:tabs>
          <w:tab w:val="left" w:pos="540"/>
          <w:tab w:val="left" w:pos="1980"/>
        </w:tabs>
        <w:autoSpaceDE w:val="0"/>
        <w:spacing w:line="360" w:lineRule="auto"/>
        <w:ind w:left="540" w:right="96" w:hanging="540"/>
        <w:jc w:val="both"/>
        <w:rPr>
          <w:rFonts w:cs="Times New Roman"/>
          <w:szCs w:val="24"/>
        </w:rPr>
      </w:pPr>
      <w:r>
        <w:rPr>
          <w:rFonts w:cs="Times New Roman"/>
          <w:szCs w:val="24"/>
        </w:rPr>
        <w:t>Jeigu vertindama sutartį įstaiga nustato, kad netenkinama nė viena aukščiau išvardytų sąlygų, todėl neaišku, kaip registruoti turtą apskaitoje, reikia atsižvelgti ir į papildomas sąlygas, kurios nurodytos 19-ajame VSAFAS „Nuoma, finansinė nuoma (lizingas) ir kitos turto perdavimo sutartys“</w:t>
      </w:r>
    </w:p>
    <w:p w:rsidR="00A004BD" w:rsidRDefault="00A004BD">
      <w:pPr>
        <w:widowControl w:val="0"/>
        <w:numPr>
          <w:ilvl w:val="0"/>
          <w:numId w:val="2"/>
        </w:numPr>
        <w:shd w:val="clear" w:color="auto" w:fill="FFFFFF"/>
        <w:tabs>
          <w:tab w:val="left" w:pos="540"/>
          <w:tab w:val="left" w:pos="1980"/>
        </w:tabs>
        <w:autoSpaceDE w:val="0"/>
        <w:spacing w:line="360" w:lineRule="auto"/>
        <w:ind w:left="540" w:right="96" w:hanging="540"/>
        <w:jc w:val="both"/>
        <w:rPr>
          <w:rFonts w:cs="Times New Roman"/>
          <w:szCs w:val="24"/>
        </w:rPr>
      </w:pPr>
      <w:r>
        <w:rPr>
          <w:rFonts w:cs="Times New Roman"/>
          <w:szCs w:val="24"/>
        </w:rPr>
        <w:lastRenderedPageBreak/>
        <w:t>Apskaitoje registruojamos finansinės nuomos įmokos yra padalinamos, išskiriant turto vertės dengimo sumą, palūkanas ir kitas įmokas (kompensuotinas nuomos sumas, neapibrėžtus nuomos mokesčius ir pan., jei tokie yra numatyti finansinės nuomos sutartyje). Palūkanos priskiriamos finansinės ir investicinės veiklos sąnaudoms ir apskaitoje yra registruojamos kaupimo principu t.y. registruojamos tą ataskaitinį laikotarpį už kurį apskaičiuojamos ateityje mokėtinos palūkanos. Finansinės nuomos būdu įsigyto ilgalaikio materialiojo turto nudėvimoji vertė paskirstoma per visą jo naudingo tarnavimo laiką.</w:t>
      </w:r>
    </w:p>
    <w:p w:rsidR="00A004BD" w:rsidRDefault="00A004BD">
      <w:pPr>
        <w:widowControl w:val="0"/>
        <w:numPr>
          <w:ilvl w:val="0"/>
          <w:numId w:val="2"/>
        </w:numPr>
        <w:shd w:val="clear" w:color="auto" w:fill="FFFFFF"/>
        <w:tabs>
          <w:tab w:val="left" w:pos="540"/>
          <w:tab w:val="left" w:pos="1980"/>
        </w:tabs>
        <w:autoSpaceDE w:val="0"/>
        <w:spacing w:line="360" w:lineRule="auto"/>
        <w:ind w:left="540" w:right="96" w:hanging="540"/>
        <w:jc w:val="both"/>
        <w:rPr>
          <w:rFonts w:cs="Times New Roman"/>
          <w:szCs w:val="24"/>
        </w:rPr>
      </w:pPr>
      <w:r>
        <w:rPr>
          <w:rFonts w:cs="Times New Roman"/>
          <w:szCs w:val="24"/>
        </w:rPr>
        <w:t>Nuoma laikoma veiklos nuoma, kai didžioji dalis su turto nuosavybe susijusios rizikos ir naudos neperduodama nuomininkui, o lieka nuomotojui. Nuomos įmokos pagal veiklos nuomos sutartį yra registruojamos apskaitoje kaip sąnaudos tolygiai (tiesiniu metodu) per nuomos laikotarpį.</w:t>
      </w:r>
    </w:p>
    <w:p w:rsidR="00A004BD" w:rsidRDefault="00A004BD">
      <w:pPr>
        <w:widowControl w:val="0"/>
        <w:shd w:val="clear" w:color="auto" w:fill="FFFFFF"/>
        <w:tabs>
          <w:tab w:val="left" w:pos="1980"/>
        </w:tabs>
        <w:autoSpaceDE w:val="0"/>
        <w:spacing w:line="360" w:lineRule="auto"/>
        <w:ind w:right="96"/>
        <w:rPr>
          <w:rFonts w:cs="Times New Roman"/>
          <w:szCs w:val="24"/>
        </w:rPr>
      </w:pPr>
    </w:p>
    <w:p w:rsidR="00A004BD" w:rsidRDefault="00A004BD">
      <w:pPr>
        <w:pStyle w:val="Antrat2"/>
        <w:numPr>
          <w:ilvl w:val="0"/>
          <w:numId w:val="0"/>
        </w:numPr>
        <w:spacing w:before="0" w:after="0" w:line="360" w:lineRule="auto"/>
        <w:jc w:val="center"/>
        <w:rPr>
          <w:rFonts w:ascii="Times New Roman" w:hAnsi="Times New Roman" w:cs="Times New Roman"/>
          <w:sz w:val="24"/>
          <w:szCs w:val="24"/>
        </w:rPr>
      </w:pPr>
      <w:bookmarkStart w:id="27" w:name="__RefHeading___Toc286759987"/>
      <w:bookmarkEnd w:id="27"/>
      <w:r>
        <w:rPr>
          <w:rFonts w:ascii="Times New Roman" w:hAnsi="Times New Roman" w:cs="Times New Roman"/>
          <w:i w:val="0"/>
          <w:color w:val="000000"/>
          <w:spacing w:val="-1"/>
          <w:w w:val="103"/>
          <w:sz w:val="24"/>
        </w:rPr>
        <w:t>Pajamos</w:t>
      </w:r>
    </w:p>
    <w:p w:rsidR="00A004BD" w:rsidRDefault="00A004BD">
      <w:pPr>
        <w:pStyle w:val="Antrat3"/>
        <w:numPr>
          <w:ilvl w:val="0"/>
          <w:numId w:val="0"/>
        </w:numPr>
        <w:tabs>
          <w:tab w:val="left" w:pos="1260"/>
          <w:tab w:val="left" w:pos="1920"/>
        </w:tabs>
        <w:spacing w:before="0" w:after="0" w:line="360" w:lineRule="auto"/>
        <w:ind w:left="5040" w:right="96"/>
        <w:jc w:val="both"/>
        <w:rPr>
          <w:rFonts w:ascii="Times New Roman" w:hAnsi="Times New Roman" w:cs="Times New Roman"/>
          <w:sz w:val="24"/>
          <w:szCs w:val="24"/>
        </w:rPr>
      </w:pPr>
    </w:p>
    <w:p w:rsidR="00A004BD" w:rsidRDefault="00A004BD">
      <w:pPr>
        <w:widowControl w:val="0"/>
        <w:numPr>
          <w:ilvl w:val="0"/>
          <w:numId w:val="2"/>
        </w:numPr>
        <w:shd w:val="clear" w:color="auto" w:fill="FFFFFF"/>
        <w:tabs>
          <w:tab w:val="left" w:pos="540"/>
          <w:tab w:val="left" w:pos="1980"/>
        </w:tabs>
        <w:autoSpaceDE w:val="0"/>
        <w:spacing w:line="360" w:lineRule="auto"/>
        <w:ind w:left="540" w:right="96" w:hanging="540"/>
        <w:jc w:val="both"/>
        <w:rPr>
          <w:rFonts w:cs="Times New Roman"/>
          <w:szCs w:val="24"/>
        </w:rPr>
      </w:pPr>
      <w:r>
        <w:rPr>
          <w:rFonts w:cs="Times New Roman"/>
          <w:szCs w:val="24"/>
        </w:rPr>
        <w:t>Pajamų apskaitos principai, metodai ir taisyklės nustatyti 10 VSAFAS „Kitos pajamos“ ir 20 VSAFAS „Finansavimo sumos“.</w:t>
      </w:r>
    </w:p>
    <w:p w:rsidR="00A004BD" w:rsidRDefault="00A004BD">
      <w:pPr>
        <w:widowControl w:val="0"/>
        <w:numPr>
          <w:ilvl w:val="0"/>
          <w:numId w:val="2"/>
        </w:numPr>
        <w:shd w:val="clear" w:color="auto" w:fill="FFFFFF"/>
        <w:tabs>
          <w:tab w:val="left" w:pos="540"/>
          <w:tab w:val="left" w:pos="1980"/>
        </w:tabs>
        <w:autoSpaceDE w:val="0"/>
        <w:spacing w:line="360" w:lineRule="auto"/>
        <w:ind w:left="540" w:right="96" w:hanging="540"/>
        <w:jc w:val="both"/>
        <w:rPr>
          <w:rFonts w:cs="Times New Roman"/>
          <w:szCs w:val="24"/>
        </w:rPr>
      </w:pPr>
      <w:r>
        <w:rPr>
          <w:rFonts w:cs="Times New Roman"/>
          <w:szCs w:val="24"/>
        </w:rPr>
        <w:t>Pajamų apskaitai taikomas kaupimo principas. Finansavimo pajamos pripažįstamos tuo pačiu laikotarpiu, kai yra patiriamos su šiomis pajamomis susijusios sąnaudos. Registruojant visas su finansavimo pajamų pripažinimu susijusias operacijas, būtina nurodyti, kokios valstybės funkcijos ir kurios programos ir priemonės vykdymui buvo pripažintos finansavimo pajamos, panaudojant detalizuojančius požymius.</w:t>
      </w:r>
    </w:p>
    <w:p w:rsidR="00A004BD" w:rsidRDefault="00A004BD">
      <w:pPr>
        <w:widowControl w:val="0"/>
        <w:numPr>
          <w:ilvl w:val="0"/>
          <w:numId w:val="2"/>
        </w:numPr>
        <w:shd w:val="clear" w:color="auto" w:fill="FFFFFF"/>
        <w:tabs>
          <w:tab w:val="left" w:pos="540"/>
          <w:tab w:val="left" w:pos="1980"/>
        </w:tabs>
        <w:autoSpaceDE w:val="0"/>
        <w:spacing w:line="360" w:lineRule="auto"/>
        <w:ind w:left="540" w:right="96" w:hanging="540"/>
        <w:jc w:val="both"/>
        <w:rPr>
          <w:rFonts w:cs="Times New Roman"/>
          <w:szCs w:val="24"/>
        </w:rPr>
      </w:pPr>
      <w:r>
        <w:rPr>
          <w:rFonts w:cs="Times New Roman"/>
          <w:szCs w:val="24"/>
        </w:rPr>
        <w:t xml:space="preserve">Pajamos, išskyrus finansavimo pajamas, pripažįstamos, kai tikėtina, jog įstaiga gaus su sandoriu susijusią ekonominę naudą, kai galima patikimai įvertinti pajamų sumą ir kai įstaiga gali patikimai įvertinti su pajamų uždirbimu susijusias sąnaudas. </w:t>
      </w:r>
    </w:p>
    <w:p w:rsidR="00A004BD" w:rsidRDefault="00A004BD">
      <w:pPr>
        <w:widowControl w:val="0"/>
        <w:numPr>
          <w:ilvl w:val="0"/>
          <w:numId w:val="2"/>
        </w:numPr>
        <w:shd w:val="clear" w:color="auto" w:fill="FFFFFF"/>
        <w:tabs>
          <w:tab w:val="left" w:pos="540"/>
          <w:tab w:val="left" w:pos="1980"/>
        </w:tabs>
        <w:autoSpaceDE w:val="0"/>
        <w:spacing w:line="360" w:lineRule="auto"/>
        <w:ind w:left="540" w:right="96" w:hanging="540"/>
        <w:jc w:val="both"/>
        <w:rPr>
          <w:rFonts w:cs="Times New Roman"/>
          <w:szCs w:val="24"/>
        </w:rPr>
      </w:pPr>
      <w:r>
        <w:rPr>
          <w:rFonts w:cs="Times New Roman"/>
          <w:szCs w:val="24"/>
        </w:rPr>
        <w:t xml:space="preserve">Pajamos registruojamos apskaitoje ir rodomos finansinėse ataskaitose tą ataskaitinį laikotarpį, kurį yra uždirbamos, t.y. kurį suteikiamos viešosios paslaugos, atliekami darbai ar parduodamos prekės ar kt., nepriklausomai nuo pinigų gavimo momento. </w:t>
      </w:r>
      <w:bookmarkStart w:id="28" w:name="OLE_LINK4"/>
      <w:bookmarkStart w:id="29" w:name="OLE_LINK3"/>
    </w:p>
    <w:p w:rsidR="00A004BD" w:rsidRDefault="00A004BD">
      <w:pPr>
        <w:widowControl w:val="0"/>
        <w:numPr>
          <w:ilvl w:val="0"/>
          <w:numId w:val="2"/>
        </w:numPr>
        <w:shd w:val="clear" w:color="auto" w:fill="FFFFFF"/>
        <w:tabs>
          <w:tab w:val="left" w:pos="540"/>
          <w:tab w:val="left" w:pos="1980"/>
        </w:tabs>
        <w:autoSpaceDE w:val="0"/>
        <w:spacing w:line="360" w:lineRule="auto"/>
        <w:ind w:left="540" w:right="96" w:hanging="540"/>
        <w:jc w:val="both"/>
        <w:rPr>
          <w:rFonts w:cs="Times New Roman"/>
          <w:szCs w:val="24"/>
        </w:rPr>
      </w:pPr>
      <w:r>
        <w:rPr>
          <w:rFonts w:cs="Times New Roman"/>
          <w:szCs w:val="24"/>
        </w:rPr>
        <w:t xml:space="preserve">L/d „Žilvitis“ pajamų apskaitos ypatumai detaliai nustatyti 8-ame „Pajamų apskaitos“ tvarkos apraše. </w:t>
      </w:r>
    </w:p>
    <w:bookmarkEnd w:id="28"/>
    <w:bookmarkEnd w:id="29"/>
    <w:p w:rsidR="00A004BD" w:rsidRDefault="00A004BD">
      <w:pPr>
        <w:widowControl w:val="0"/>
        <w:shd w:val="clear" w:color="auto" w:fill="FFFFFF"/>
        <w:tabs>
          <w:tab w:val="left" w:pos="1980"/>
        </w:tabs>
        <w:autoSpaceDE w:val="0"/>
        <w:spacing w:line="360" w:lineRule="auto"/>
        <w:ind w:right="96"/>
        <w:rPr>
          <w:rFonts w:cs="Times New Roman"/>
          <w:szCs w:val="24"/>
        </w:rPr>
      </w:pPr>
    </w:p>
    <w:p w:rsidR="00A004BD" w:rsidRDefault="00A004BD">
      <w:pPr>
        <w:pStyle w:val="Antrat2"/>
        <w:numPr>
          <w:ilvl w:val="0"/>
          <w:numId w:val="0"/>
        </w:numPr>
        <w:spacing w:before="0" w:after="0" w:line="360" w:lineRule="auto"/>
        <w:jc w:val="center"/>
        <w:rPr>
          <w:rFonts w:ascii="Times New Roman" w:hAnsi="Times New Roman" w:cs="Times New Roman"/>
          <w:sz w:val="24"/>
          <w:szCs w:val="24"/>
        </w:rPr>
      </w:pPr>
      <w:bookmarkStart w:id="30" w:name="__RefHeading___Toc286759988"/>
      <w:bookmarkEnd w:id="30"/>
      <w:r>
        <w:rPr>
          <w:rFonts w:ascii="Times New Roman" w:hAnsi="Times New Roman" w:cs="Times New Roman"/>
          <w:i w:val="0"/>
          <w:color w:val="000000"/>
          <w:spacing w:val="-1"/>
          <w:w w:val="103"/>
          <w:sz w:val="24"/>
        </w:rPr>
        <w:t>Sąnaudos</w:t>
      </w:r>
    </w:p>
    <w:p w:rsidR="00A004BD" w:rsidRDefault="00A004BD">
      <w:pPr>
        <w:pStyle w:val="Antrat3"/>
        <w:numPr>
          <w:ilvl w:val="0"/>
          <w:numId w:val="0"/>
        </w:numPr>
        <w:tabs>
          <w:tab w:val="left" w:pos="1260"/>
          <w:tab w:val="left" w:pos="1920"/>
        </w:tabs>
        <w:spacing w:before="0" w:after="0" w:line="360" w:lineRule="auto"/>
        <w:ind w:left="5040" w:right="96"/>
        <w:jc w:val="both"/>
        <w:rPr>
          <w:rFonts w:ascii="Times New Roman" w:hAnsi="Times New Roman" w:cs="Times New Roman"/>
          <w:sz w:val="24"/>
          <w:szCs w:val="24"/>
        </w:rPr>
      </w:pPr>
    </w:p>
    <w:p w:rsidR="00A004BD" w:rsidRDefault="00A004BD">
      <w:pPr>
        <w:widowControl w:val="0"/>
        <w:numPr>
          <w:ilvl w:val="0"/>
          <w:numId w:val="2"/>
        </w:numPr>
        <w:shd w:val="clear" w:color="auto" w:fill="FFFFFF"/>
        <w:tabs>
          <w:tab w:val="left" w:pos="540"/>
          <w:tab w:val="left" w:pos="1980"/>
        </w:tabs>
        <w:autoSpaceDE w:val="0"/>
        <w:spacing w:line="360" w:lineRule="auto"/>
        <w:ind w:left="540" w:right="96" w:hanging="540"/>
        <w:jc w:val="both"/>
        <w:rPr>
          <w:rFonts w:cs="Times New Roman"/>
          <w:szCs w:val="24"/>
        </w:rPr>
      </w:pPr>
      <w:r>
        <w:rPr>
          <w:rFonts w:cs="Times New Roman"/>
          <w:szCs w:val="24"/>
        </w:rPr>
        <w:t xml:space="preserve">Sąnaudų apskaitos principai, metodai ir taisyklės nustatyti 11-ajame VSAFAS „Sąnaudos”. Sąnaudų, susijusių su konkrečių turto, finansavimo sumų ir įsipareigojimų straipsnių apskaita, principai nustatyti šių straipsnių apskaitą reglamentuojančiuose VSAFAS. </w:t>
      </w:r>
    </w:p>
    <w:p w:rsidR="00A004BD" w:rsidRDefault="00A004BD">
      <w:pPr>
        <w:widowControl w:val="0"/>
        <w:numPr>
          <w:ilvl w:val="0"/>
          <w:numId w:val="2"/>
        </w:numPr>
        <w:shd w:val="clear" w:color="auto" w:fill="FFFFFF"/>
        <w:tabs>
          <w:tab w:val="left" w:pos="540"/>
          <w:tab w:val="left" w:pos="1980"/>
        </w:tabs>
        <w:autoSpaceDE w:val="0"/>
        <w:spacing w:line="360" w:lineRule="auto"/>
        <w:ind w:left="540" w:right="96" w:hanging="540"/>
        <w:jc w:val="both"/>
        <w:rPr>
          <w:rFonts w:cs="Times New Roman"/>
          <w:szCs w:val="24"/>
        </w:rPr>
      </w:pPr>
      <w:r>
        <w:rPr>
          <w:rFonts w:cs="Times New Roman"/>
          <w:szCs w:val="24"/>
        </w:rPr>
        <w:t xml:space="preserve">Sąnaudos apskaitoje pripažįstamos vadovaujantis kaupimo ir palyginamumo principais tuo </w:t>
      </w:r>
      <w:r>
        <w:rPr>
          <w:rFonts w:cs="Times New Roman"/>
          <w:szCs w:val="24"/>
        </w:rPr>
        <w:lastRenderedPageBreak/>
        <w:t>ataskaitiniu laikotarpiu, kai uždirbamos su jomis susijusios pajamos, neatsižvelgiant į pinigų išleidimo laiką. Tais atvejais, kai per ataskaitinį laikotarpį padarytų išlaidų neįmanoma tiesiogiai susieti su konkrečių pajamų uždirbimu ir jos neduos ekonominės naudos ateinančiais ataskaitiniais laikotarpiais, šios išlaidos pripažįstamos sąnaudomis tą patį laikotarpį, kada buvo patirtos.</w:t>
      </w:r>
    </w:p>
    <w:p w:rsidR="00A004BD" w:rsidRDefault="00A004BD">
      <w:pPr>
        <w:widowControl w:val="0"/>
        <w:numPr>
          <w:ilvl w:val="0"/>
          <w:numId w:val="2"/>
        </w:numPr>
        <w:shd w:val="clear" w:color="auto" w:fill="FFFFFF"/>
        <w:tabs>
          <w:tab w:val="left" w:pos="540"/>
          <w:tab w:val="left" w:pos="1980"/>
        </w:tabs>
        <w:autoSpaceDE w:val="0"/>
        <w:spacing w:line="360" w:lineRule="auto"/>
        <w:ind w:left="540" w:right="96" w:hanging="540"/>
        <w:jc w:val="both"/>
        <w:rPr>
          <w:rFonts w:cs="Times New Roman"/>
          <w:szCs w:val="24"/>
        </w:rPr>
      </w:pPr>
      <w:r>
        <w:rPr>
          <w:rFonts w:cs="Times New Roman"/>
          <w:szCs w:val="24"/>
        </w:rPr>
        <w:t>Sąnaudų dydis įvertinamas sumokėta arba mokėtina pinigų arba jų ekvivalentų suma. Tais atvejais, kai numatytas ilgas atsiskaitymo laikotarpis ir palūkanos nėra išskirtos iš bendros mokėtinos sumos, sąnaudų dydis įvertinamas diskontuojant atsiskaitymo sumą taikant rinkos palūkanų normą.</w:t>
      </w:r>
    </w:p>
    <w:p w:rsidR="00A004BD" w:rsidRDefault="00A004BD">
      <w:pPr>
        <w:widowControl w:val="0"/>
        <w:numPr>
          <w:ilvl w:val="0"/>
          <w:numId w:val="2"/>
        </w:numPr>
        <w:shd w:val="clear" w:color="auto" w:fill="FFFFFF"/>
        <w:tabs>
          <w:tab w:val="left" w:pos="540"/>
          <w:tab w:val="left" w:pos="1980"/>
        </w:tabs>
        <w:autoSpaceDE w:val="0"/>
        <w:spacing w:line="360" w:lineRule="auto"/>
        <w:ind w:left="540" w:right="96" w:hanging="540"/>
        <w:jc w:val="both"/>
      </w:pPr>
      <w:r>
        <w:rPr>
          <w:rFonts w:cs="Times New Roman"/>
          <w:szCs w:val="24"/>
        </w:rPr>
        <w:t>Įstaigos sąnaudų apskaitos ypatumai detaliai nustatyti 9-ame „Sąnaudų apskaitos“ tvarkos apraše.</w:t>
      </w:r>
    </w:p>
    <w:p w:rsidR="00A004BD" w:rsidRDefault="00A004BD">
      <w:pPr>
        <w:widowControl w:val="0"/>
        <w:shd w:val="clear" w:color="auto" w:fill="FFFFFF"/>
        <w:tabs>
          <w:tab w:val="left" w:pos="1980"/>
        </w:tabs>
        <w:autoSpaceDE w:val="0"/>
        <w:spacing w:line="360" w:lineRule="auto"/>
        <w:ind w:left="1838" w:right="96"/>
        <w:jc w:val="both"/>
      </w:pPr>
    </w:p>
    <w:p w:rsidR="00A004BD" w:rsidRDefault="00A004BD">
      <w:pPr>
        <w:pStyle w:val="Antrat2"/>
        <w:numPr>
          <w:ilvl w:val="0"/>
          <w:numId w:val="0"/>
        </w:numPr>
        <w:spacing w:before="0" w:after="0" w:line="360" w:lineRule="auto"/>
        <w:jc w:val="center"/>
        <w:rPr>
          <w:rFonts w:ascii="Times New Roman" w:hAnsi="Times New Roman" w:cs="Times New Roman"/>
          <w:sz w:val="24"/>
          <w:szCs w:val="24"/>
        </w:rPr>
      </w:pPr>
      <w:bookmarkStart w:id="31" w:name="__RefHeading___Toc286759989"/>
      <w:bookmarkEnd w:id="31"/>
      <w:r>
        <w:rPr>
          <w:rFonts w:ascii="Times New Roman" w:hAnsi="Times New Roman" w:cs="Times New Roman"/>
          <w:i w:val="0"/>
          <w:color w:val="000000"/>
          <w:spacing w:val="-1"/>
          <w:w w:val="103"/>
          <w:sz w:val="24"/>
        </w:rPr>
        <w:t>Sandoriai užsienio valiuta</w:t>
      </w:r>
    </w:p>
    <w:p w:rsidR="00A004BD" w:rsidRDefault="00A004BD">
      <w:pPr>
        <w:pStyle w:val="Antrat3"/>
        <w:numPr>
          <w:ilvl w:val="0"/>
          <w:numId w:val="0"/>
        </w:numPr>
        <w:tabs>
          <w:tab w:val="left" w:pos="1260"/>
          <w:tab w:val="left" w:pos="1920"/>
        </w:tabs>
        <w:spacing w:before="0" w:after="0" w:line="360" w:lineRule="auto"/>
        <w:ind w:left="720" w:right="96"/>
        <w:rPr>
          <w:rFonts w:ascii="Times New Roman" w:hAnsi="Times New Roman" w:cs="Times New Roman"/>
          <w:sz w:val="24"/>
          <w:szCs w:val="24"/>
        </w:rPr>
      </w:pPr>
    </w:p>
    <w:p w:rsidR="00A004BD" w:rsidRDefault="00A004BD">
      <w:pPr>
        <w:widowControl w:val="0"/>
        <w:numPr>
          <w:ilvl w:val="0"/>
          <w:numId w:val="2"/>
        </w:numPr>
        <w:shd w:val="clear" w:color="auto" w:fill="FFFFFF"/>
        <w:tabs>
          <w:tab w:val="left" w:pos="540"/>
          <w:tab w:val="left" w:pos="1980"/>
        </w:tabs>
        <w:autoSpaceDE w:val="0"/>
        <w:spacing w:line="360" w:lineRule="auto"/>
        <w:ind w:left="540" w:right="96" w:hanging="540"/>
        <w:jc w:val="both"/>
        <w:rPr>
          <w:rFonts w:cs="Times New Roman"/>
          <w:szCs w:val="24"/>
        </w:rPr>
      </w:pPr>
      <w:r>
        <w:rPr>
          <w:rFonts w:cs="Times New Roman"/>
          <w:szCs w:val="24"/>
        </w:rPr>
        <w:t>Sandorių užsienio valiuta apskaitos principai nustatyti 21-ajame VSAFAS „Sandoriai užsienio valiuta”.</w:t>
      </w:r>
    </w:p>
    <w:p w:rsidR="00A004BD" w:rsidRDefault="00A004BD">
      <w:pPr>
        <w:widowControl w:val="0"/>
        <w:numPr>
          <w:ilvl w:val="0"/>
          <w:numId w:val="2"/>
        </w:numPr>
        <w:shd w:val="clear" w:color="auto" w:fill="FFFFFF"/>
        <w:tabs>
          <w:tab w:val="left" w:pos="540"/>
          <w:tab w:val="left" w:pos="1980"/>
        </w:tabs>
        <w:autoSpaceDE w:val="0"/>
        <w:spacing w:line="360" w:lineRule="auto"/>
        <w:ind w:left="540" w:right="96" w:hanging="540"/>
        <w:jc w:val="both"/>
        <w:rPr>
          <w:rFonts w:cs="Times New Roman"/>
          <w:szCs w:val="24"/>
        </w:rPr>
      </w:pPr>
      <w:r>
        <w:rPr>
          <w:rFonts w:cs="Times New Roman"/>
          <w:szCs w:val="24"/>
        </w:rPr>
        <w:t xml:space="preserve">Sandoriai užsienio valiuta pirminio pripažinimo metu registruojami apskaitoje pagal sandorio dieną galiojusį Lietuvos banko skelbiamą užsienio valiutos kursą. Pelnas ir nuostoliai iš sandorių užsienio valiuta bei iš užsienio valiuta išreikšto turto ir įsipareigojimų likučių perkainojimo dieną yra registruojami finansinės ir investicinės veiklos pajamų ar sąnaudų sąskaitose. </w:t>
      </w:r>
    </w:p>
    <w:p w:rsidR="00A004BD" w:rsidRDefault="00A004BD">
      <w:pPr>
        <w:widowControl w:val="0"/>
        <w:numPr>
          <w:ilvl w:val="0"/>
          <w:numId w:val="2"/>
        </w:numPr>
        <w:shd w:val="clear" w:color="auto" w:fill="FFFFFF"/>
        <w:tabs>
          <w:tab w:val="left" w:pos="540"/>
          <w:tab w:val="left" w:pos="1980"/>
        </w:tabs>
        <w:autoSpaceDE w:val="0"/>
        <w:spacing w:line="360" w:lineRule="auto"/>
        <w:ind w:left="540" w:right="96" w:hanging="540"/>
        <w:jc w:val="both"/>
      </w:pPr>
      <w:r>
        <w:rPr>
          <w:rFonts w:cs="Times New Roman"/>
          <w:szCs w:val="24"/>
        </w:rPr>
        <w:t xml:space="preserve">Valiutinių straipsnių likučiai perkainojami pagal ataskaitinio laikotarpio pabaigos Lietuvos banko skelbiamą Lietuvos Respublikos piniginio vieneto ir užsienio valiutos santykį. </w:t>
      </w:r>
    </w:p>
    <w:p w:rsidR="00A004BD" w:rsidRDefault="00A004BD">
      <w:pPr>
        <w:widowControl w:val="0"/>
        <w:shd w:val="clear" w:color="auto" w:fill="FFFFFF"/>
        <w:tabs>
          <w:tab w:val="left" w:pos="1980"/>
        </w:tabs>
        <w:autoSpaceDE w:val="0"/>
        <w:spacing w:line="360" w:lineRule="auto"/>
        <w:ind w:left="1838" w:right="96"/>
        <w:jc w:val="both"/>
      </w:pPr>
    </w:p>
    <w:p w:rsidR="00A004BD" w:rsidRDefault="00A004BD">
      <w:pPr>
        <w:pStyle w:val="Antrat2"/>
        <w:numPr>
          <w:ilvl w:val="0"/>
          <w:numId w:val="0"/>
        </w:numPr>
        <w:spacing w:before="0" w:after="0" w:line="360" w:lineRule="auto"/>
        <w:jc w:val="center"/>
        <w:rPr>
          <w:rFonts w:ascii="Times New Roman" w:hAnsi="Times New Roman" w:cs="Times New Roman"/>
          <w:sz w:val="24"/>
          <w:szCs w:val="24"/>
        </w:rPr>
      </w:pPr>
      <w:bookmarkStart w:id="32" w:name="__RefHeading___Toc286759990"/>
      <w:bookmarkEnd w:id="32"/>
      <w:r>
        <w:rPr>
          <w:rFonts w:ascii="Times New Roman" w:hAnsi="Times New Roman" w:cs="Times New Roman"/>
          <w:i w:val="0"/>
          <w:color w:val="000000"/>
          <w:spacing w:val="-1"/>
          <w:w w:val="103"/>
          <w:sz w:val="24"/>
        </w:rPr>
        <w:t>Turto nuvertėjimas</w:t>
      </w:r>
    </w:p>
    <w:p w:rsidR="00A004BD" w:rsidRDefault="00A004BD">
      <w:pPr>
        <w:pStyle w:val="Antrat3"/>
        <w:numPr>
          <w:ilvl w:val="0"/>
          <w:numId w:val="0"/>
        </w:numPr>
        <w:tabs>
          <w:tab w:val="left" w:pos="1260"/>
          <w:tab w:val="left" w:pos="1920"/>
        </w:tabs>
        <w:spacing w:before="0" w:after="0" w:line="360" w:lineRule="auto"/>
        <w:ind w:left="720" w:right="96"/>
        <w:rPr>
          <w:rFonts w:ascii="Times New Roman" w:hAnsi="Times New Roman" w:cs="Times New Roman"/>
          <w:sz w:val="24"/>
          <w:szCs w:val="24"/>
        </w:rPr>
      </w:pPr>
    </w:p>
    <w:p w:rsidR="00A004BD" w:rsidRDefault="00A004BD">
      <w:pPr>
        <w:widowControl w:val="0"/>
        <w:numPr>
          <w:ilvl w:val="0"/>
          <w:numId w:val="2"/>
        </w:numPr>
        <w:shd w:val="clear" w:color="auto" w:fill="FFFFFF"/>
        <w:tabs>
          <w:tab w:val="left" w:pos="540"/>
          <w:tab w:val="left" w:pos="1980"/>
        </w:tabs>
        <w:autoSpaceDE w:val="0"/>
        <w:spacing w:line="360" w:lineRule="auto"/>
        <w:ind w:left="540" w:right="96" w:hanging="540"/>
        <w:jc w:val="both"/>
        <w:rPr>
          <w:rFonts w:cs="Times New Roman"/>
          <w:szCs w:val="24"/>
        </w:rPr>
      </w:pPr>
      <w:r>
        <w:rPr>
          <w:rFonts w:cs="Times New Roman"/>
          <w:szCs w:val="24"/>
        </w:rPr>
        <w:t>Turto nuvertėjimo apskaitos principai, metodai ir taisyklės nustatyti 8-ajame VSAFAS „Atsargos“, 17-ajame VSAFAS „Finansinis turtas ir finansiniai įsipareigojimai” ir 22-ajame VSAFAS „Turto nuvertėjimas”.</w:t>
      </w:r>
    </w:p>
    <w:p w:rsidR="00A004BD" w:rsidRDefault="00A004BD">
      <w:pPr>
        <w:widowControl w:val="0"/>
        <w:numPr>
          <w:ilvl w:val="0"/>
          <w:numId w:val="2"/>
        </w:numPr>
        <w:shd w:val="clear" w:color="auto" w:fill="FFFFFF"/>
        <w:tabs>
          <w:tab w:val="left" w:pos="540"/>
          <w:tab w:val="left" w:pos="1980"/>
        </w:tabs>
        <w:autoSpaceDE w:val="0"/>
        <w:spacing w:line="360" w:lineRule="auto"/>
        <w:jc w:val="both"/>
        <w:rPr>
          <w:rFonts w:cs="Times New Roman"/>
          <w:szCs w:val="24"/>
        </w:rPr>
      </w:pPr>
      <w:r>
        <w:rPr>
          <w:rFonts w:cs="Times New Roman"/>
          <w:szCs w:val="24"/>
        </w:rPr>
        <w:t xml:space="preserve">Nuostoliai dėl turto nuvertėjimo apskaitoje pripažįstami pagal nuvertėjimo požymius. Sudarydama finansinių ataskaitų rinkinį, įstaiga nustato, ar yra turto nuvertėjimo požymių. Jeigu yra vidinių ar išorinių nuvertėjimo požymių, l/d „Žilvitis“ nustato turto atsiperkamąją vertę ir palygina ją su turto balansine verte. </w:t>
      </w:r>
      <w:bookmarkStart w:id="33" w:name="_Ref139194008"/>
    </w:p>
    <w:p w:rsidR="00A004BD" w:rsidRDefault="00A004BD">
      <w:pPr>
        <w:widowControl w:val="0"/>
        <w:numPr>
          <w:ilvl w:val="0"/>
          <w:numId w:val="2"/>
        </w:numPr>
        <w:shd w:val="clear" w:color="auto" w:fill="FFFFFF"/>
        <w:tabs>
          <w:tab w:val="left" w:pos="540"/>
          <w:tab w:val="left" w:pos="1980"/>
        </w:tabs>
        <w:autoSpaceDE w:val="0"/>
        <w:spacing w:line="360" w:lineRule="auto"/>
        <w:ind w:left="540" w:right="96" w:hanging="540"/>
        <w:jc w:val="both"/>
        <w:rPr>
          <w:rFonts w:cs="Times New Roman"/>
          <w:szCs w:val="24"/>
        </w:rPr>
      </w:pPr>
      <w:r>
        <w:rPr>
          <w:rFonts w:cs="Times New Roman"/>
          <w:szCs w:val="24"/>
        </w:rPr>
        <w:t>Nuostoliai dėl turto nuvertėjimo apskaitoje registruojami apskaičiuotų nuostolių suma mažinant turto balansinę vertę bei ta pačia suma registruojant ataskaitinio laikotarpio pagrindinės arba kitos veiklos sąnaudas.</w:t>
      </w:r>
      <w:bookmarkEnd w:id="33"/>
      <w:r>
        <w:rPr>
          <w:rFonts w:cs="Times New Roman"/>
          <w:szCs w:val="24"/>
        </w:rPr>
        <w:t xml:space="preserve"> </w:t>
      </w:r>
    </w:p>
    <w:p w:rsidR="00A004BD" w:rsidRDefault="00A004BD">
      <w:pPr>
        <w:widowControl w:val="0"/>
        <w:numPr>
          <w:ilvl w:val="0"/>
          <w:numId w:val="2"/>
        </w:numPr>
        <w:shd w:val="clear" w:color="auto" w:fill="FFFFFF"/>
        <w:tabs>
          <w:tab w:val="left" w:pos="540"/>
          <w:tab w:val="left" w:pos="1980"/>
        </w:tabs>
        <w:autoSpaceDE w:val="0"/>
        <w:spacing w:line="360" w:lineRule="auto"/>
        <w:ind w:left="540" w:right="96" w:hanging="540"/>
        <w:jc w:val="both"/>
        <w:rPr>
          <w:rFonts w:cs="Times New Roman"/>
          <w:szCs w:val="24"/>
        </w:rPr>
      </w:pPr>
      <w:r>
        <w:rPr>
          <w:rFonts w:cs="Times New Roman"/>
          <w:szCs w:val="24"/>
        </w:rPr>
        <w:t xml:space="preserve">Turto nuvertėjimas nėra tolygus turto nurašymui. Turto nuvertėjimo atveju yra mažinama turto vieneto balansinė vertė, tačiau išsaugoma informacija apie turto įsigijimo savikainą, t.y. turto vieneto įsigijimo savikaina apskaitoje lieka tokia pat kaip iki nuvertėjimo nustatymo, o nuvertėjimas </w:t>
      </w:r>
      <w:r>
        <w:rPr>
          <w:rFonts w:cs="Times New Roman"/>
          <w:szCs w:val="24"/>
        </w:rPr>
        <w:lastRenderedPageBreak/>
        <w:t xml:space="preserve">registruojamas atskiroje sąskaitoje. Turto nuvertėjimas apskaitoje yra registruojamas ne didesne verte nei turto balansinė vertė. </w:t>
      </w:r>
    </w:p>
    <w:p w:rsidR="00A004BD" w:rsidRDefault="00A004BD">
      <w:pPr>
        <w:widowControl w:val="0"/>
        <w:numPr>
          <w:ilvl w:val="0"/>
          <w:numId w:val="2"/>
        </w:numPr>
        <w:shd w:val="clear" w:color="auto" w:fill="FFFFFF"/>
        <w:tabs>
          <w:tab w:val="left" w:pos="540"/>
          <w:tab w:val="left" w:pos="1980"/>
        </w:tabs>
        <w:autoSpaceDE w:val="0"/>
        <w:spacing w:line="360" w:lineRule="auto"/>
        <w:ind w:left="540" w:right="96" w:hanging="540"/>
        <w:jc w:val="both"/>
        <w:rPr>
          <w:rFonts w:cs="Times New Roman"/>
          <w:szCs w:val="24"/>
        </w:rPr>
      </w:pPr>
      <w:r>
        <w:rPr>
          <w:rFonts w:cs="Times New Roman"/>
          <w:szCs w:val="24"/>
        </w:rPr>
        <w:t>Kai vėlesnį ataskaitinį laikotarpį, pasikeitus aplinkybėms, atstatoma anksčiau pripažinta turto nuvertėjimo suma, turto balansinė vertė po nuvertėjimo atstatymo negali viršyti jo balansinės vertės, kuri būtų buvusi, jeigu turto nuvertėjimas nebūtų buvęs pripažintas.</w:t>
      </w:r>
    </w:p>
    <w:p w:rsidR="00A004BD" w:rsidRDefault="00A004BD">
      <w:pPr>
        <w:widowControl w:val="0"/>
        <w:numPr>
          <w:ilvl w:val="0"/>
          <w:numId w:val="2"/>
        </w:numPr>
        <w:shd w:val="clear" w:color="auto" w:fill="FFFFFF"/>
        <w:tabs>
          <w:tab w:val="left" w:pos="540"/>
          <w:tab w:val="left" w:pos="1980"/>
        </w:tabs>
        <w:autoSpaceDE w:val="0"/>
        <w:spacing w:line="360" w:lineRule="auto"/>
        <w:ind w:left="540" w:right="96" w:hanging="540"/>
        <w:jc w:val="both"/>
        <w:rPr>
          <w:rFonts w:cs="Times New Roman"/>
          <w:szCs w:val="24"/>
        </w:rPr>
      </w:pPr>
      <w:r>
        <w:rPr>
          <w:rFonts w:cs="Times New Roman"/>
          <w:szCs w:val="24"/>
        </w:rPr>
        <w:t xml:space="preserve">Pripažinus ilgalaikio materialiojo ar nematerialiojo turto nuvertėjimo nuostolį, perskaičiuojamos būsimiesiems ataskaitiniam laikotarpiams tenkančios turto nusidėvėjimo (amortizacijos) sumos, kad turto nudėvimoji (amortizuojamoji) vertė po nuvertėjimo būtų tolygiai paskirstyta per visą likusį jo naudingo tarnavimo laiką, t.y. nuvertėjimo suma nudėvima per likusį naudingo tarnavimo laiką, mažinant nusidėvėjimo sąnaudas. </w:t>
      </w:r>
    </w:p>
    <w:p w:rsidR="00A004BD" w:rsidRDefault="00A004BD">
      <w:pPr>
        <w:widowControl w:val="0"/>
        <w:numPr>
          <w:ilvl w:val="0"/>
          <w:numId w:val="2"/>
        </w:numPr>
        <w:shd w:val="clear" w:color="auto" w:fill="FFFFFF"/>
        <w:tabs>
          <w:tab w:val="left" w:pos="540"/>
          <w:tab w:val="left" w:pos="1980"/>
        </w:tabs>
        <w:autoSpaceDE w:val="0"/>
        <w:spacing w:line="360" w:lineRule="auto"/>
        <w:jc w:val="both"/>
      </w:pPr>
      <w:r>
        <w:rPr>
          <w:rFonts w:cs="Times New Roman"/>
          <w:szCs w:val="24"/>
        </w:rPr>
        <w:t xml:space="preserve">Detaliai l/d „Žilvitis“ turto nuvertėjimo apskaitos ypatumai aptariami 1-ame „Nematerialiojo turto  apskaitos“ tvarkos apraše, 2-ame „Ilgalaikio materialiojo turto apskaitos“ tvarkos apraše, 3-ame „Atsargų apskaitos“ tvarkos apraše, 6-ame „Išankstinių apmokėjimų ir gautinų sumų apskaitos“ tvarkos apraše. </w:t>
      </w:r>
    </w:p>
    <w:p w:rsidR="00A004BD" w:rsidRDefault="00A004BD">
      <w:pPr>
        <w:widowControl w:val="0"/>
        <w:shd w:val="clear" w:color="auto" w:fill="FFFFFF"/>
        <w:tabs>
          <w:tab w:val="left" w:pos="540"/>
        </w:tabs>
        <w:autoSpaceDE w:val="0"/>
        <w:spacing w:line="360" w:lineRule="auto"/>
        <w:ind w:right="96"/>
      </w:pPr>
    </w:p>
    <w:p w:rsidR="00A004BD" w:rsidRDefault="00A004BD">
      <w:pPr>
        <w:pStyle w:val="Antrat2"/>
        <w:numPr>
          <w:ilvl w:val="0"/>
          <w:numId w:val="0"/>
        </w:numPr>
        <w:spacing w:before="0" w:after="0" w:line="360" w:lineRule="auto"/>
        <w:jc w:val="center"/>
        <w:rPr>
          <w:rFonts w:ascii="Times New Roman" w:hAnsi="Times New Roman" w:cs="Times New Roman"/>
          <w:sz w:val="24"/>
          <w:szCs w:val="24"/>
        </w:rPr>
      </w:pPr>
      <w:bookmarkStart w:id="34" w:name="__RefHeading___Toc286759991"/>
      <w:r>
        <w:rPr>
          <w:rFonts w:ascii="Times New Roman" w:hAnsi="Times New Roman" w:cs="Times New Roman"/>
          <w:i w:val="0"/>
          <w:color w:val="000000"/>
          <w:spacing w:val="-1"/>
          <w:w w:val="103"/>
          <w:sz w:val="24"/>
        </w:rPr>
        <w:t>Neapibrėžtieji įsipareigojimai ir neapibrėžtasis turtas</w:t>
      </w:r>
      <w:bookmarkEnd w:id="34"/>
      <w:r>
        <w:rPr>
          <w:rFonts w:ascii="Times New Roman" w:hAnsi="Times New Roman" w:cs="Times New Roman"/>
          <w:i w:val="0"/>
          <w:color w:val="000000"/>
          <w:spacing w:val="-1"/>
          <w:w w:val="103"/>
          <w:sz w:val="24"/>
        </w:rPr>
        <w:t xml:space="preserve"> </w:t>
      </w:r>
    </w:p>
    <w:p w:rsidR="00A004BD" w:rsidRDefault="00A004BD">
      <w:pPr>
        <w:pStyle w:val="Antrat2"/>
        <w:numPr>
          <w:ilvl w:val="0"/>
          <w:numId w:val="0"/>
        </w:numPr>
        <w:spacing w:before="0" w:after="0" w:line="360" w:lineRule="auto"/>
        <w:jc w:val="center"/>
        <w:rPr>
          <w:rFonts w:ascii="Times New Roman" w:hAnsi="Times New Roman" w:cs="Times New Roman"/>
          <w:sz w:val="24"/>
          <w:szCs w:val="24"/>
        </w:rPr>
      </w:pPr>
    </w:p>
    <w:p w:rsidR="00A004BD" w:rsidRDefault="00A004BD">
      <w:pPr>
        <w:widowControl w:val="0"/>
        <w:numPr>
          <w:ilvl w:val="0"/>
          <w:numId w:val="2"/>
        </w:numPr>
        <w:shd w:val="clear" w:color="auto" w:fill="FFFFFF"/>
        <w:tabs>
          <w:tab w:val="left" w:pos="540"/>
          <w:tab w:val="left" w:pos="1980"/>
        </w:tabs>
        <w:autoSpaceDE w:val="0"/>
        <w:spacing w:line="360" w:lineRule="auto"/>
        <w:ind w:left="540" w:right="96" w:hanging="540"/>
        <w:jc w:val="both"/>
        <w:rPr>
          <w:rFonts w:cs="Times New Roman"/>
          <w:szCs w:val="24"/>
        </w:rPr>
      </w:pPr>
      <w:r>
        <w:rPr>
          <w:rFonts w:cs="Times New Roman"/>
          <w:szCs w:val="24"/>
        </w:rPr>
        <w:t>Neapibrėžtųjų įsipareigojimų ir neapibrėžtojo turto apskaitos principai nustatyti 18-ajame VSAFAS „Atidėjiniai, neapibrėžtieji įsipareigojimai, neapibrėžtasis turtas ir poataskaitiniai įvykiai“.</w:t>
      </w:r>
    </w:p>
    <w:p w:rsidR="00A004BD" w:rsidRDefault="00A004BD">
      <w:pPr>
        <w:widowControl w:val="0"/>
        <w:numPr>
          <w:ilvl w:val="0"/>
          <w:numId w:val="2"/>
        </w:numPr>
        <w:shd w:val="clear" w:color="auto" w:fill="FFFFFF"/>
        <w:tabs>
          <w:tab w:val="left" w:pos="540"/>
          <w:tab w:val="left" w:pos="1980"/>
        </w:tabs>
        <w:autoSpaceDE w:val="0"/>
        <w:spacing w:line="360" w:lineRule="auto"/>
        <w:ind w:left="540" w:right="96" w:hanging="540"/>
        <w:jc w:val="both"/>
        <w:rPr>
          <w:rFonts w:cs="Times New Roman"/>
          <w:szCs w:val="24"/>
        </w:rPr>
      </w:pPr>
      <w:r>
        <w:rPr>
          <w:rFonts w:cs="Times New Roman"/>
          <w:szCs w:val="24"/>
        </w:rPr>
        <w:t>Įstaiga nepripažįsta neapibrėžtųjų įsipareigojimų ir neapibrėžtojo turto, tačiau neapibrėžtieji įsipareigojimai ir neapibrėžtasis turtas registruojami nebalansinėse sąskaitose. Neapibrėžtieji įsipareigojimai nerodomi nei finansinės būklės ataskaitoje, nei veiklos rezultatų ataskaitoje, o informacija apie juos pateikiama aiškinamajame rašte. Kai tikimybė, kad reikės panaudoti turtą įsipareigojimui padengti yra labai maža, informacija apie juos aiškinamajame rašte nebūtina. Informacija apie neapibrėžtąjį turtą ir įsipareigojimus turi būti peržiūrima ne rečiau negu kiekvieno ataskaitinio laikotarpio paskutinę dieną, siekiant užtikrinti, kad pasikeitimai būtų tinkamai atskleisti aiškinamajame rašte.</w:t>
      </w:r>
    </w:p>
    <w:p w:rsidR="00A004BD" w:rsidRDefault="00A004BD">
      <w:pPr>
        <w:widowControl w:val="0"/>
        <w:numPr>
          <w:ilvl w:val="0"/>
          <w:numId w:val="2"/>
        </w:numPr>
        <w:shd w:val="clear" w:color="auto" w:fill="FFFFFF"/>
        <w:tabs>
          <w:tab w:val="left" w:pos="540"/>
          <w:tab w:val="left" w:pos="1980"/>
        </w:tabs>
        <w:autoSpaceDE w:val="0"/>
        <w:spacing w:line="360" w:lineRule="auto"/>
        <w:ind w:left="540" w:right="96" w:hanging="540"/>
        <w:jc w:val="both"/>
      </w:pPr>
      <w:r>
        <w:rPr>
          <w:rFonts w:cs="Times New Roman"/>
          <w:szCs w:val="24"/>
        </w:rPr>
        <w:t>Neapibrėžtasis turtas finansinėse ataskaitose neparodomas, kol nėra aišku, ar jis duos įstaigai ekonominės naudos. Jei ekonominė nauda tikėtina, tačiau nėra tikra, kad ji bus gauta, informacija apie neapibrėžtąjį turtą pateikiama aiškinamajame rašte.</w:t>
      </w:r>
    </w:p>
    <w:p w:rsidR="00A004BD" w:rsidRDefault="00A004BD">
      <w:pPr>
        <w:spacing w:line="360" w:lineRule="auto"/>
        <w:ind w:right="96" w:firstLine="1298"/>
      </w:pPr>
    </w:p>
    <w:p w:rsidR="00A004BD" w:rsidRDefault="00A004BD">
      <w:pPr>
        <w:pStyle w:val="Antrat2"/>
        <w:numPr>
          <w:ilvl w:val="0"/>
          <w:numId w:val="0"/>
        </w:numPr>
        <w:spacing w:before="0" w:after="0" w:line="360" w:lineRule="auto"/>
        <w:jc w:val="center"/>
        <w:rPr>
          <w:rFonts w:ascii="Times New Roman" w:hAnsi="Times New Roman" w:cs="Times New Roman"/>
          <w:sz w:val="24"/>
          <w:szCs w:val="24"/>
        </w:rPr>
      </w:pPr>
      <w:bookmarkStart w:id="35" w:name="__RefHeading___Toc286759992"/>
      <w:bookmarkEnd w:id="35"/>
      <w:r>
        <w:rPr>
          <w:rFonts w:ascii="Times New Roman" w:hAnsi="Times New Roman" w:cs="Times New Roman"/>
          <w:i w:val="0"/>
          <w:color w:val="000000"/>
          <w:spacing w:val="-1"/>
          <w:w w:val="103"/>
          <w:sz w:val="24"/>
        </w:rPr>
        <w:t>Poataskaitiniai įvykiai</w:t>
      </w:r>
    </w:p>
    <w:p w:rsidR="00A004BD" w:rsidRDefault="00A004BD">
      <w:pPr>
        <w:pStyle w:val="Antrat3"/>
        <w:numPr>
          <w:ilvl w:val="0"/>
          <w:numId w:val="0"/>
        </w:numPr>
        <w:tabs>
          <w:tab w:val="left" w:pos="720"/>
          <w:tab w:val="left" w:pos="1260"/>
          <w:tab w:val="left" w:pos="1920"/>
          <w:tab w:val="left" w:pos="2520"/>
        </w:tabs>
        <w:spacing w:before="0" w:after="0" w:line="360" w:lineRule="auto"/>
        <w:ind w:left="720" w:right="96"/>
        <w:rPr>
          <w:rFonts w:ascii="Times New Roman" w:hAnsi="Times New Roman" w:cs="Times New Roman"/>
          <w:sz w:val="24"/>
          <w:szCs w:val="24"/>
        </w:rPr>
      </w:pPr>
    </w:p>
    <w:p w:rsidR="00A004BD" w:rsidRDefault="00A004BD">
      <w:pPr>
        <w:widowControl w:val="0"/>
        <w:numPr>
          <w:ilvl w:val="0"/>
          <w:numId w:val="2"/>
        </w:numPr>
        <w:shd w:val="clear" w:color="auto" w:fill="FFFFFF"/>
        <w:tabs>
          <w:tab w:val="left" w:pos="540"/>
          <w:tab w:val="left" w:pos="1980"/>
        </w:tabs>
        <w:autoSpaceDE w:val="0"/>
        <w:spacing w:line="360" w:lineRule="auto"/>
        <w:ind w:left="540" w:right="96" w:hanging="540"/>
        <w:jc w:val="both"/>
        <w:rPr>
          <w:rFonts w:cs="Times New Roman"/>
          <w:szCs w:val="24"/>
        </w:rPr>
      </w:pPr>
      <w:r>
        <w:rPr>
          <w:rFonts w:cs="Times New Roman"/>
          <w:szCs w:val="24"/>
        </w:rPr>
        <w:t>Poataskaitinių įvykių apskaitos ir pateikimo finansinėse ataskaitose taisyklės pateiktos 18-ajame VSAFAS „Atidėjiniai, neapibrėžtieji įsipareigojimai, neapibrėžtasis turtas ir poataskaitiniai įvykiai“.</w:t>
      </w:r>
    </w:p>
    <w:p w:rsidR="00A004BD" w:rsidRDefault="00A004BD">
      <w:pPr>
        <w:widowControl w:val="0"/>
        <w:numPr>
          <w:ilvl w:val="0"/>
          <w:numId w:val="2"/>
        </w:numPr>
        <w:shd w:val="clear" w:color="auto" w:fill="FFFFFF"/>
        <w:tabs>
          <w:tab w:val="left" w:pos="540"/>
          <w:tab w:val="left" w:pos="1980"/>
        </w:tabs>
        <w:autoSpaceDE w:val="0"/>
        <w:spacing w:line="360" w:lineRule="auto"/>
        <w:jc w:val="both"/>
        <w:rPr>
          <w:rFonts w:cs="Times New Roman"/>
          <w:szCs w:val="24"/>
        </w:rPr>
      </w:pPr>
      <w:r>
        <w:rPr>
          <w:rFonts w:cs="Times New Roman"/>
          <w:szCs w:val="24"/>
        </w:rPr>
        <w:lastRenderedPageBreak/>
        <w:t>Poataskaitiniai įvykiai, kurie suteikia papildomos informacijos apie l/d „Žilvitis“ finansinę padėtį paskutinę ataskaitinio laikotarpio dieną (koreguojantys įvykiai), atsižvelgiant į jų įtakos reikšmę parengtoms finansinėms ataskaitoms, yra parodomi finansinės būklės, veiklos rezultatų ir pinigų srautų ataskaitose. Nekoreguojantys įvykiai, pasibaigus ataskaitiniam laikotarpiui aprašomi aiškinamajame rašte, kai jie reikšmingi.</w:t>
      </w:r>
    </w:p>
    <w:p w:rsidR="00A004BD" w:rsidRDefault="00A004BD">
      <w:pPr>
        <w:widowControl w:val="0"/>
        <w:shd w:val="clear" w:color="auto" w:fill="FFFFFF"/>
        <w:tabs>
          <w:tab w:val="left" w:pos="1980"/>
        </w:tabs>
        <w:autoSpaceDE w:val="0"/>
        <w:spacing w:line="360" w:lineRule="auto"/>
        <w:ind w:left="540" w:right="96"/>
        <w:jc w:val="both"/>
        <w:rPr>
          <w:rFonts w:cs="Times New Roman"/>
          <w:szCs w:val="24"/>
        </w:rPr>
      </w:pPr>
    </w:p>
    <w:p w:rsidR="00A004BD" w:rsidRDefault="00A004BD">
      <w:pPr>
        <w:pStyle w:val="Antrat2"/>
        <w:numPr>
          <w:ilvl w:val="0"/>
          <w:numId w:val="0"/>
        </w:numPr>
        <w:spacing w:before="0" w:after="0" w:line="360" w:lineRule="auto"/>
        <w:jc w:val="center"/>
        <w:rPr>
          <w:rFonts w:cs="Times New Roman"/>
          <w:szCs w:val="24"/>
        </w:rPr>
      </w:pPr>
      <w:bookmarkStart w:id="36" w:name="__RefHeading___Toc286759993"/>
      <w:bookmarkEnd w:id="36"/>
      <w:r>
        <w:rPr>
          <w:rFonts w:ascii="Times New Roman" w:hAnsi="Times New Roman" w:cs="Times New Roman"/>
          <w:i w:val="0"/>
          <w:color w:val="000000"/>
          <w:spacing w:val="-1"/>
          <w:w w:val="103"/>
          <w:sz w:val="24"/>
        </w:rPr>
        <w:t>Tarpusavio užskaitos ir palyginamieji skaičiai</w:t>
      </w:r>
    </w:p>
    <w:p w:rsidR="00A004BD" w:rsidRDefault="00A004BD">
      <w:pPr>
        <w:tabs>
          <w:tab w:val="left" w:pos="360"/>
          <w:tab w:val="left" w:pos="1260"/>
        </w:tabs>
        <w:spacing w:line="360" w:lineRule="auto"/>
        <w:ind w:right="96" w:firstLine="1298"/>
        <w:rPr>
          <w:rFonts w:cs="Times New Roman"/>
          <w:szCs w:val="24"/>
        </w:rPr>
      </w:pPr>
    </w:p>
    <w:p w:rsidR="00A004BD" w:rsidRDefault="00A004BD">
      <w:pPr>
        <w:widowControl w:val="0"/>
        <w:numPr>
          <w:ilvl w:val="0"/>
          <w:numId w:val="2"/>
        </w:numPr>
        <w:shd w:val="clear" w:color="auto" w:fill="FFFFFF"/>
        <w:tabs>
          <w:tab w:val="left" w:pos="540"/>
          <w:tab w:val="left" w:pos="1980"/>
        </w:tabs>
        <w:autoSpaceDE w:val="0"/>
        <w:spacing w:line="360" w:lineRule="auto"/>
        <w:ind w:left="540" w:right="96" w:hanging="540"/>
        <w:jc w:val="both"/>
        <w:rPr>
          <w:rFonts w:cs="Times New Roman"/>
          <w:szCs w:val="24"/>
        </w:rPr>
      </w:pPr>
      <w:r>
        <w:rPr>
          <w:rFonts w:cs="Times New Roman"/>
          <w:szCs w:val="24"/>
        </w:rPr>
        <w:t xml:space="preserve">Sudarant finansinių ataskaitų rinkinį, turtas ir įsipareigojimai bei pajamos ir sąnaudos nėra užskaitomos tarpusavyje, išskyrus atvejus, kai konkretus VSAFAS reikalauja būtent tokios užskaitos (pvz., dėl draudiminio įvykio patirtos sąnaudos yra užskaitomos su gauta draudimo išmoka).  </w:t>
      </w:r>
    </w:p>
    <w:p w:rsidR="00A004BD" w:rsidRDefault="00A004BD">
      <w:pPr>
        <w:widowControl w:val="0"/>
        <w:numPr>
          <w:ilvl w:val="0"/>
          <w:numId w:val="2"/>
        </w:numPr>
        <w:shd w:val="clear" w:color="auto" w:fill="FFFFFF"/>
        <w:tabs>
          <w:tab w:val="left" w:pos="540"/>
          <w:tab w:val="left" w:pos="1980"/>
        </w:tabs>
        <w:autoSpaceDE w:val="0"/>
        <w:spacing w:line="360" w:lineRule="auto"/>
        <w:ind w:left="540" w:right="96" w:hanging="540"/>
        <w:jc w:val="both"/>
      </w:pPr>
      <w:r>
        <w:rPr>
          <w:rFonts w:cs="Times New Roman"/>
          <w:szCs w:val="24"/>
        </w:rPr>
        <w:t>Palyginamieji skaičiai yra koreguojami, kad atitiktų ataskaitinių metų finansinius rezultatus. Apskaitos principų bei apskaitinių įverčių pasikeitimai, sudarant ataskaitinio laikotarpio finansinių ataskaitų rinkinį, pateikiami aiškinamajame rašte.</w:t>
      </w:r>
    </w:p>
    <w:p w:rsidR="00A004BD" w:rsidRDefault="00A004BD">
      <w:pPr>
        <w:spacing w:line="360" w:lineRule="auto"/>
        <w:ind w:right="96" w:firstLine="1298"/>
      </w:pPr>
    </w:p>
    <w:p w:rsidR="00A004BD" w:rsidRDefault="00A004BD">
      <w:pPr>
        <w:pStyle w:val="Antrat2"/>
        <w:numPr>
          <w:ilvl w:val="0"/>
          <w:numId w:val="0"/>
        </w:numPr>
        <w:spacing w:before="0" w:after="0" w:line="360" w:lineRule="auto"/>
        <w:jc w:val="center"/>
        <w:rPr>
          <w:rFonts w:ascii="Times New Roman" w:hAnsi="Times New Roman" w:cs="Times New Roman"/>
          <w:i w:val="0"/>
          <w:color w:val="000000"/>
          <w:spacing w:val="-1"/>
          <w:w w:val="103"/>
          <w:sz w:val="24"/>
        </w:rPr>
      </w:pPr>
      <w:bookmarkStart w:id="37" w:name="__RefHeading___Toc286759994"/>
      <w:bookmarkEnd w:id="37"/>
      <w:r>
        <w:rPr>
          <w:rFonts w:ascii="Times New Roman" w:hAnsi="Times New Roman" w:cs="Times New Roman"/>
          <w:i w:val="0"/>
          <w:color w:val="000000"/>
          <w:spacing w:val="-1"/>
          <w:w w:val="103"/>
          <w:sz w:val="24"/>
        </w:rPr>
        <w:t>Informacijos pagal segmentus pateikimas</w:t>
      </w:r>
    </w:p>
    <w:p w:rsidR="00A004BD" w:rsidRDefault="00A004BD">
      <w:pPr>
        <w:pStyle w:val="Antrat2"/>
        <w:numPr>
          <w:ilvl w:val="0"/>
          <w:numId w:val="0"/>
        </w:numPr>
        <w:spacing w:before="0" w:after="0" w:line="360" w:lineRule="auto"/>
        <w:ind w:left="360"/>
        <w:rPr>
          <w:rFonts w:ascii="Times New Roman" w:hAnsi="Times New Roman" w:cs="Times New Roman"/>
          <w:i w:val="0"/>
          <w:color w:val="000000"/>
          <w:spacing w:val="-1"/>
          <w:w w:val="103"/>
          <w:sz w:val="24"/>
        </w:rPr>
      </w:pPr>
    </w:p>
    <w:p w:rsidR="00A004BD" w:rsidRDefault="00A004BD">
      <w:pPr>
        <w:widowControl w:val="0"/>
        <w:numPr>
          <w:ilvl w:val="0"/>
          <w:numId w:val="2"/>
        </w:numPr>
        <w:shd w:val="clear" w:color="auto" w:fill="FFFFFF"/>
        <w:tabs>
          <w:tab w:val="left" w:pos="540"/>
          <w:tab w:val="left" w:pos="1980"/>
        </w:tabs>
        <w:autoSpaceDE w:val="0"/>
        <w:spacing w:line="360" w:lineRule="auto"/>
        <w:ind w:left="540" w:right="96" w:hanging="540"/>
        <w:jc w:val="both"/>
        <w:rPr>
          <w:rFonts w:cs="Times New Roman"/>
          <w:szCs w:val="24"/>
        </w:rPr>
      </w:pPr>
      <w:r>
        <w:rPr>
          <w:rFonts w:cs="Times New Roman"/>
          <w:szCs w:val="24"/>
        </w:rPr>
        <w:t>Informacijos pagal segmentus pateikimo finansinėse ataskaitose reikalavimai nustatyti 25-ajame VSAFAS „Segmentai“.</w:t>
      </w:r>
    </w:p>
    <w:p w:rsidR="00A004BD" w:rsidRDefault="00A004BD">
      <w:pPr>
        <w:widowControl w:val="0"/>
        <w:numPr>
          <w:ilvl w:val="0"/>
          <w:numId w:val="2"/>
        </w:numPr>
        <w:shd w:val="clear" w:color="auto" w:fill="FFFFFF"/>
        <w:tabs>
          <w:tab w:val="left" w:pos="540"/>
          <w:tab w:val="left" w:pos="1980"/>
        </w:tabs>
        <w:autoSpaceDE w:val="0"/>
        <w:spacing w:line="360" w:lineRule="auto"/>
        <w:jc w:val="both"/>
        <w:rPr>
          <w:rFonts w:cs="Times New Roman"/>
          <w:szCs w:val="24"/>
        </w:rPr>
      </w:pPr>
      <w:r>
        <w:rPr>
          <w:rFonts w:cs="Times New Roman"/>
          <w:szCs w:val="24"/>
        </w:rPr>
        <w:t xml:space="preserve">l/d „Žilvitis“ tvarko apskaitos veiklą pagal segmentus. Segmentai – įstaigos veiklos dalys pagal vykdomas valstybės funkcijas, apimančios vienarūšes  teikiamas viešąsias (švietimo) paslaugas pagal valstybės funkcijų klasifikaciją. </w:t>
      </w:r>
    </w:p>
    <w:p w:rsidR="00A004BD" w:rsidRDefault="00A004BD">
      <w:pPr>
        <w:widowControl w:val="0"/>
        <w:numPr>
          <w:ilvl w:val="0"/>
          <w:numId w:val="2"/>
        </w:numPr>
        <w:shd w:val="clear" w:color="auto" w:fill="FFFFFF"/>
        <w:tabs>
          <w:tab w:val="left" w:pos="540"/>
          <w:tab w:val="left" w:pos="1980"/>
        </w:tabs>
        <w:autoSpaceDE w:val="0"/>
        <w:spacing w:line="360" w:lineRule="auto"/>
        <w:ind w:left="540" w:right="96" w:hanging="540"/>
        <w:jc w:val="both"/>
        <w:rPr>
          <w:rFonts w:cs="Times New Roman"/>
          <w:szCs w:val="24"/>
        </w:rPr>
      </w:pPr>
      <w:r>
        <w:rPr>
          <w:rFonts w:cs="Times New Roman"/>
          <w:szCs w:val="24"/>
        </w:rPr>
        <w:t>Skiriami šie segmentai:</w:t>
      </w:r>
    </w:p>
    <w:p w:rsidR="00A004BD" w:rsidRDefault="00A004BD">
      <w:pPr>
        <w:widowControl w:val="0"/>
        <w:numPr>
          <w:ilvl w:val="1"/>
          <w:numId w:val="2"/>
        </w:numPr>
        <w:shd w:val="clear" w:color="auto" w:fill="FFFFFF"/>
        <w:tabs>
          <w:tab w:val="left" w:pos="540"/>
        </w:tabs>
        <w:autoSpaceDE w:val="0"/>
        <w:spacing w:line="360" w:lineRule="auto"/>
        <w:ind w:right="96"/>
        <w:jc w:val="both"/>
        <w:rPr>
          <w:rFonts w:cs="Times New Roman"/>
          <w:szCs w:val="24"/>
        </w:rPr>
      </w:pPr>
      <w:r>
        <w:rPr>
          <w:rFonts w:cs="Times New Roman"/>
          <w:szCs w:val="24"/>
        </w:rPr>
        <w:t>bendrųjų valstybės paslaugų;</w:t>
      </w:r>
    </w:p>
    <w:p w:rsidR="00A004BD" w:rsidRDefault="00A004BD">
      <w:pPr>
        <w:widowControl w:val="0"/>
        <w:numPr>
          <w:ilvl w:val="1"/>
          <w:numId w:val="2"/>
        </w:numPr>
        <w:shd w:val="clear" w:color="auto" w:fill="FFFFFF"/>
        <w:tabs>
          <w:tab w:val="left" w:pos="540"/>
        </w:tabs>
        <w:autoSpaceDE w:val="0"/>
        <w:spacing w:line="360" w:lineRule="auto"/>
        <w:ind w:right="96"/>
        <w:jc w:val="both"/>
        <w:rPr>
          <w:rFonts w:cs="Times New Roman"/>
          <w:szCs w:val="24"/>
        </w:rPr>
      </w:pPr>
      <w:r>
        <w:rPr>
          <w:rFonts w:cs="Times New Roman"/>
          <w:szCs w:val="24"/>
        </w:rPr>
        <w:t>gynybos;</w:t>
      </w:r>
    </w:p>
    <w:p w:rsidR="00A004BD" w:rsidRDefault="00A004BD">
      <w:pPr>
        <w:widowControl w:val="0"/>
        <w:numPr>
          <w:ilvl w:val="1"/>
          <w:numId w:val="2"/>
        </w:numPr>
        <w:shd w:val="clear" w:color="auto" w:fill="FFFFFF"/>
        <w:tabs>
          <w:tab w:val="left" w:pos="540"/>
        </w:tabs>
        <w:autoSpaceDE w:val="0"/>
        <w:spacing w:line="360" w:lineRule="auto"/>
        <w:ind w:right="96"/>
        <w:jc w:val="both"/>
        <w:rPr>
          <w:rFonts w:cs="Times New Roman"/>
          <w:szCs w:val="24"/>
        </w:rPr>
      </w:pPr>
      <w:r>
        <w:rPr>
          <w:rFonts w:cs="Times New Roman"/>
          <w:szCs w:val="24"/>
        </w:rPr>
        <w:t>viešosios tvarkos ir visuomenės apsaugos;</w:t>
      </w:r>
    </w:p>
    <w:p w:rsidR="00A004BD" w:rsidRDefault="00A004BD">
      <w:pPr>
        <w:widowControl w:val="0"/>
        <w:numPr>
          <w:ilvl w:val="1"/>
          <w:numId w:val="2"/>
        </w:numPr>
        <w:shd w:val="clear" w:color="auto" w:fill="FFFFFF"/>
        <w:tabs>
          <w:tab w:val="left" w:pos="540"/>
        </w:tabs>
        <w:autoSpaceDE w:val="0"/>
        <w:spacing w:line="360" w:lineRule="auto"/>
        <w:ind w:right="96"/>
        <w:jc w:val="both"/>
        <w:rPr>
          <w:rFonts w:cs="Times New Roman"/>
          <w:szCs w:val="24"/>
        </w:rPr>
      </w:pPr>
      <w:r>
        <w:rPr>
          <w:rFonts w:cs="Times New Roman"/>
          <w:szCs w:val="24"/>
        </w:rPr>
        <w:t>ekonomikos sektoriaus;</w:t>
      </w:r>
    </w:p>
    <w:p w:rsidR="00A004BD" w:rsidRDefault="00A004BD">
      <w:pPr>
        <w:widowControl w:val="0"/>
        <w:numPr>
          <w:ilvl w:val="1"/>
          <w:numId w:val="2"/>
        </w:numPr>
        <w:shd w:val="clear" w:color="auto" w:fill="FFFFFF"/>
        <w:tabs>
          <w:tab w:val="left" w:pos="540"/>
        </w:tabs>
        <w:autoSpaceDE w:val="0"/>
        <w:spacing w:line="360" w:lineRule="auto"/>
        <w:ind w:right="96"/>
        <w:jc w:val="both"/>
        <w:rPr>
          <w:rFonts w:cs="Times New Roman"/>
          <w:szCs w:val="24"/>
        </w:rPr>
      </w:pPr>
      <w:r>
        <w:rPr>
          <w:rFonts w:cs="Times New Roman"/>
          <w:szCs w:val="24"/>
        </w:rPr>
        <w:t>aplinkos apsaugos;</w:t>
      </w:r>
    </w:p>
    <w:p w:rsidR="00A004BD" w:rsidRDefault="00A004BD">
      <w:pPr>
        <w:widowControl w:val="0"/>
        <w:numPr>
          <w:ilvl w:val="1"/>
          <w:numId w:val="2"/>
        </w:numPr>
        <w:shd w:val="clear" w:color="auto" w:fill="FFFFFF"/>
        <w:tabs>
          <w:tab w:val="left" w:pos="540"/>
        </w:tabs>
        <w:autoSpaceDE w:val="0"/>
        <w:spacing w:line="360" w:lineRule="auto"/>
        <w:ind w:right="96"/>
        <w:jc w:val="both"/>
        <w:rPr>
          <w:rFonts w:cs="Times New Roman"/>
          <w:szCs w:val="24"/>
        </w:rPr>
      </w:pPr>
      <w:r>
        <w:rPr>
          <w:rFonts w:cs="Times New Roman"/>
          <w:szCs w:val="24"/>
        </w:rPr>
        <w:t>būsto ir komunalinio ūkio;</w:t>
      </w:r>
    </w:p>
    <w:p w:rsidR="00A004BD" w:rsidRDefault="00A004BD">
      <w:pPr>
        <w:widowControl w:val="0"/>
        <w:numPr>
          <w:ilvl w:val="1"/>
          <w:numId w:val="2"/>
        </w:numPr>
        <w:shd w:val="clear" w:color="auto" w:fill="FFFFFF"/>
        <w:tabs>
          <w:tab w:val="left" w:pos="540"/>
        </w:tabs>
        <w:autoSpaceDE w:val="0"/>
        <w:spacing w:line="360" w:lineRule="auto"/>
        <w:ind w:right="96"/>
        <w:jc w:val="both"/>
        <w:rPr>
          <w:rFonts w:cs="Times New Roman"/>
          <w:szCs w:val="24"/>
        </w:rPr>
      </w:pPr>
      <w:r>
        <w:rPr>
          <w:rFonts w:cs="Times New Roman"/>
          <w:szCs w:val="24"/>
        </w:rPr>
        <w:t>sveikatos priežiūros;</w:t>
      </w:r>
    </w:p>
    <w:p w:rsidR="00A004BD" w:rsidRDefault="00A004BD">
      <w:pPr>
        <w:widowControl w:val="0"/>
        <w:numPr>
          <w:ilvl w:val="1"/>
          <w:numId w:val="2"/>
        </w:numPr>
        <w:shd w:val="clear" w:color="auto" w:fill="FFFFFF"/>
        <w:tabs>
          <w:tab w:val="left" w:pos="540"/>
        </w:tabs>
        <w:autoSpaceDE w:val="0"/>
        <w:spacing w:line="360" w:lineRule="auto"/>
        <w:ind w:right="96"/>
        <w:jc w:val="both"/>
        <w:rPr>
          <w:rFonts w:cs="Times New Roman"/>
          <w:szCs w:val="24"/>
        </w:rPr>
      </w:pPr>
      <w:r>
        <w:rPr>
          <w:rFonts w:cs="Times New Roman"/>
          <w:szCs w:val="24"/>
        </w:rPr>
        <w:t>poilsio, kultūros ir religijos;</w:t>
      </w:r>
    </w:p>
    <w:p w:rsidR="00A004BD" w:rsidRDefault="00A004BD">
      <w:pPr>
        <w:widowControl w:val="0"/>
        <w:numPr>
          <w:ilvl w:val="1"/>
          <w:numId w:val="2"/>
        </w:numPr>
        <w:shd w:val="clear" w:color="auto" w:fill="FFFFFF"/>
        <w:tabs>
          <w:tab w:val="left" w:pos="540"/>
        </w:tabs>
        <w:autoSpaceDE w:val="0"/>
        <w:spacing w:line="360" w:lineRule="auto"/>
        <w:ind w:right="96"/>
        <w:jc w:val="both"/>
        <w:rPr>
          <w:rFonts w:cs="Times New Roman"/>
          <w:szCs w:val="24"/>
        </w:rPr>
      </w:pPr>
      <w:r>
        <w:rPr>
          <w:rFonts w:cs="Times New Roman"/>
          <w:szCs w:val="24"/>
        </w:rPr>
        <w:t>švietimo;</w:t>
      </w:r>
    </w:p>
    <w:p w:rsidR="00A004BD" w:rsidRDefault="00A004BD">
      <w:pPr>
        <w:widowControl w:val="0"/>
        <w:numPr>
          <w:ilvl w:val="1"/>
          <w:numId w:val="2"/>
        </w:numPr>
        <w:shd w:val="clear" w:color="auto" w:fill="FFFFFF"/>
        <w:tabs>
          <w:tab w:val="left" w:pos="540"/>
          <w:tab w:val="left" w:pos="1440"/>
        </w:tabs>
        <w:autoSpaceDE w:val="0"/>
        <w:spacing w:line="360" w:lineRule="auto"/>
        <w:ind w:right="96"/>
        <w:jc w:val="both"/>
        <w:rPr>
          <w:rFonts w:cs="Times New Roman"/>
          <w:szCs w:val="24"/>
        </w:rPr>
      </w:pPr>
      <w:r>
        <w:rPr>
          <w:rFonts w:cs="Times New Roman"/>
          <w:szCs w:val="24"/>
        </w:rPr>
        <w:t xml:space="preserve">     socialinės apsaugos.</w:t>
      </w:r>
    </w:p>
    <w:p w:rsidR="00A004BD" w:rsidRDefault="00A004BD">
      <w:pPr>
        <w:widowControl w:val="0"/>
        <w:numPr>
          <w:ilvl w:val="0"/>
          <w:numId w:val="2"/>
        </w:numPr>
        <w:shd w:val="clear" w:color="auto" w:fill="FFFFFF"/>
        <w:tabs>
          <w:tab w:val="left" w:pos="1980"/>
        </w:tabs>
        <w:autoSpaceDE w:val="0"/>
        <w:spacing w:line="360" w:lineRule="auto"/>
        <w:ind w:left="540" w:right="96" w:hanging="540"/>
        <w:jc w:val="both"/>
        <w:rPr>
          <w:rFonts w:cs="Times New Roman"/>
          <w:szCs w:val="24"/>
        </w:rPr>
      </w:pPr>
      <w:r>
        <w:rPr>
          <w:rFonts w:cs="Times New Roman"/>
          <w:szCs w:val="24"/>
        </w:rPr>
        <w:t>Apie kiekvieną segmentą atskleidžiama tokia informacija:</w:t>
      </w:r>
    </w:p>
    <w:p w:rsidR="00A004BD" w:rsidRDefault="00A004BD">
      <w:pPr>
        <w:widowControl w:val="0"/>
        <w:numPr>
          <w:ilvl w:val="1"/>
          <w:numId w:val="2"/>
        </w:numPr>
        <w:shd w:val="clear" w:color="auto" w:fill="FFFFFF"/>
        <w:tabs>
          <w:tab w:val="left" w:pos="540"/>
        </w:tabs>
        <w:autoSpaceDE w:val="0"/>
        <w:spacing w:line="360" w:lineRule="auto"/>
        <w:ind w:right="96"/>
        <w:jc w:val="both"/>
        <w:rPr>
          <w:rFonts w:cs="Times New Roman"/>
          <w:szCs w:val="24"/>
        </w:rPr>
      </w:pPr>
      <w:r>
        <w:rPr>
          <w:rFonts w:cs="Times New Roman"/>
          <w:szCs w:val="24"/>
        </w:rPr>
        <w:t>segmento pagrindinės veiklos sąnaudos;</w:t>
      </w:r>
    </w:p>
    <w:p w:rsidR="00A004BD" w:rsidRDefault="00A004BD">
      <w:pPr>
        <w:widowControl w:val="0"/>
        <w:numPr>
          <w:ilvl w:val="1"/>
          <w:numId w:val="2"/>
        </w:numPr>
        <w:shd w:val="clear" w:color="auto" w:fill="FFFFFF"/>
        <w:tabs>
          <w:tab w:val="left" w:pos="540"/>
        </w:tabs>
        <w:autoSpaceDE w:val="0"/>
        <w:spacing w:line="360" w:lineRule="auto"/>
        <w:ind w:right="96"/>
        <w:jc w:val="both"/>
        <w:rPr>
          <w:rFonts w:cs="Times New Roman"/>
          <w:szCs w:val="24"/>
        </w:rPr>
      </w:pPr>
      <w:r>
        <w:rPr>
          <w:rFonts w:cs="Times New Roman"/>
          <w:szCs w:val="24"/>
        </w:rPr>
        <w:lastRenderedPageBreak/>
        <w:t>segmento pagrindinės veiklos pinigų srautai.</w:t>
      </w:r>
    </w:p>
    <w:p w:rsidR="00A004BD" w:rsidRDefault="00A004BD">
      <w:pPr>
        <w:widowControl w:val="0"/>
        <w:numPr>
          <w:ilvl w:val="0"/>
          <w:numId w:val="2"/>
        </w:numPr>
        <w:shd w:val="clear" w:color="auto" w:fill="FFFFFF"/>
        <w:tabs>
          <w:tab w:val="left" w:pos="1980"/>
        </w:tabs>
        <w:autoSpaceDE w:val="0"/>
        <w:spacing w:line="360" w:lineRule="auto"/>
        <w:ind w:left="540" w:right="96" w:hanging="540"/>
        <w:jc w:val="both"/>
        <w:rPr>
          <w:rFonts w:cs="Times New Roman"/>
          <w:szCs w:val="24"/>
        </w:rPr>
      </w:pPr>
      <w:r>
        <w:rPr>
          <w:rFonts w:cs="Times New Roman"/>
          <w:szCs w:val="24"/>
        </w:rPr>
        <w:t>L/d „Žilvitis“ turto, įsipareigojimų ir finansavimo sumų apskaitą pagal segmentus tvarko taip, kad galėtų teisingai užregistruoti pagal segmentus pagrindinės veiklos sąnaudas ir pagrindinės veiklos pinigų srautus.</w:t>
      </w:r>
    </w:p>
    <w:p w:rsidR="00A004BD" w:rsidRDefault="00A004BD">
      <w:pPr>
        <w:widowControl w:val="0"/>
        <w:numPr>
          <w:ilvl w:val="0"/>
          <w:numId w:val="2"/>
        </w:numPr>
        <w:shd w:val="clear" w:color="auto" w:fill="FFFFFF"/>
        <w:tabs>
          <w:tab w:val="left" w:pos="1980"/>
        </w:tabs>
        <w:autoSpaceDE w:val="0"/>
        <w:spacing w:line="360" w:lineRule="auto"/>
        <w:ind w:left="540" w:right="96" w:hanging="540"/>
        <w:jc w:val="both"/>
      </w:pPr>
      <w:r>
        <w:rPr>
          <w:rFonts w:cs="Times New Roman"/>
          <w:szCs w:val="24"/>
        </w:rPr>
        <w:t>Turtas, įsipareigojimai, finansavimo sumos, pajamos ir sąnaudos, kurių priskyrimo segmentui pagrindas yra neaiškus, priskiriami didžiausią įstaigos veiklos dalį sudarančiam segmentui.</w:t>
      </w:r>
    </w:p>
    <w:p w:rsidR="00A004BD" w:rsidRDefault="00A004BD">
      <w:pPr>
        <w:spacing w:line="360" w:lineRule="auto"/>
        <w:ind w:right="96" w:firstLine="1298"/>
      </w:pPr>
      <w:bookmarkStart w:id="38" w:name="_Apskaitos_politikos_keitimas"/>
      <w:bookmarkStart w:id="39" w:name="_Ref175974191"/>
      <w:bookmarkEnd w:id="38"/>
    </w:p>
    <w:p w:rsidR="00A004BD" w:rsidRDefault="00A004BD">
      <w:pPr>
        <w:pStyle w:val="Antrat2"/>
        <w:numPr>
          <w:ilvl w:val="0"/>
          <w:numId w:val="0"/>
        </w:numPr>
        <w:spacing w:before="0" w:after="0" w:line="360" w:lineRule="auto"/>
        <w:jc w:val="center"/>
        <w:rPr>
          <w:rFonts w:cs="Times New Roman"/>
          <w:szCs w:val="24"/>
        </w:rPr>
      </w:pPr>
      <w:bookmarkStart w:id="40" w:name="__RefHeading___Toc286759995"/>
      <w:bookmarkEnd w:id="40"/>
      <w:r>
        <w:rPr>
          <w:rFonts w:ascii="Times New Roman" w:hAnsi="Times New Roman" w:cs="Times New Roman"/>
          <w:i w:val="0"/>
          <w:color w:val="000000"/>
          <w:spacing w:val="-1"/>
          <w:w w:val="103"/>
          <w:sz w:val="24"/>
        </w:rPr>
        <w:t>Apskaitos politikos keitimas</w:t>
      </w:r>
      <w:bookmarkEnd w:id="39"/>
    </w:p>
    <w:p w:rsidR="00A004BD" w:rsidRDefault="00A004BD">
      <w:pPr>
        <w:tabs>
          <w:tab w:val="left" w:pos="360"/>
          <w:tab w:val="left" w:pos="1260"/>
        </w:tabs>
        <w:spacing w:line="360" w:lineRule="auto"/>
        <w:ind w:right="96" w:firstLine="1298"/>
        <w:rPr>
          <w:rFonts w:cs="Times New Roman"/>
          <w:szCs w:val="24"/>
        </w:rPr>
      </w:pPr>
    </w:p>
    <w:p w:rsidR="00A004BD" w:rsidRDefault="00A004BD">
      <w:pPr>
        <w:widowControl w:val="0"/>
        <w:numPr>
          <w:ilvl w:val="0"/>
          <w:numId w:val="2"/>
        </w:numPr>
        <w:shd w:val="clear" w:color="auto" w:fill="FFFFFF"/>
        <w:tabs>
          <w:tab w:val="left" w:pos="1980"/>
        </w:tabs>
        <w:autoSpaceDE w:val="0"/>
        <w:spacing w:line="360" w:lineRule="auto"/>
        <w:ind w:left="540" w:right="96" w:hanging="540"/>
        <w:jc w:val="both"/>
        <w:rPr>
          <w:rFonts w:cs="Times New Roman"/>
          <w:szCs w:val="24"/>
        </w:rPr>
      </w:pPr>
      <w:bookmarkStart w:id="41" w:name="_Ref150008332"/>
      <w:bookmarkStart w:id="42" w:name="_Ref184793116"/>
      <w:r>
        <w:rPr>
          <w:rFonts w:cs="Times New Roman"/>
          <w:szCs w:val="24"/>
        </w:rPr>
        <w:t>Apskaitos politikos keitimo principai nustatyti 7-ajame VSAFAS „Apskaitos politikos, apskaitinių įverčių keitimas ir klaidų taisymas“.</w:t>
      </w:r>
      <w:bookmarkEnd w:id="42"/>
    </w:p>
    <w:p w:rsidR="00A004BD" w:rsidRDefault="00A004BD">
      <w:pPr>
        <w:widowControl w:val="0"/>
        <w:numPr>
          <w:ilvl w:val="0"/>
          <w:numId w:val="2"/>
        </w:numPr>
        <w:shd w:val="clear" w:color="auto" w:fill="FFFFFF"/>
        <w:tabs>
          <w:tab w:val="left" w:pos="1980"/>
        </w:tabs>
        <w:autoSpaceDE w:val="0"/>
        <w:spacing w:line="360" w:lineRule="auto"/>
        <w:ind w:left="540" w:right="96" w:hanging="540"/>
        <w:jc w:val="both"/>
        <w:rPr>
          <w:rFonts w:cs="Times New Roman"/>
          <w:szCs w:val="24"/>
        </w:rPr>
      </w:pPr>
      <w:r>
        <w:rPr>
          <w:rFonts w:cs="Times New Roman"/>
          <w:szCs w:val="24"/>
        </w:rPr>
        <w:t>L/d „Žilvitis“ pasirinktą apskaitos politiką taiko nuolat arba gana ilgą laiką tam, kad būtų galima palyginti skirtingų ataskaitinių laikotarpių finansines ataskaitas. Tokio palyginimo reikia įstaigos finansinės būklės, veiklos rezultatų, grynojo turto ir pinigų srautų keitimosi tendencijoms nustatyti.</w:t>
      </w:r>
      <w:bookmarkEnd w:id="41"/>
    </w:p>
    <w:p w:rsidR="00A004BD" w:rsidRDefault="00A004BD">
      <w:pPr>
        <w:widowControl w:val="0"/>
        <w:numPr>
          <w:ilvl w:val="0"/>
          <w:numId w:val="2"/>
        </w:numPr>
        <w:shd w:val="clear" w:color="auto" w:fill="FFFFFF"/>
        <w:tabs>
          <w:tab w:val="left" w:pos="1980"/>
        </w:tabs>
        <w:autoSpaceDE w:val="0"/>
        <w:spacing w:line="360" w:lineRule="auto"/>
        <w:ind w:left="540" w:right="96" w:hanging="540"/>
        <w:jc w:val="both"/>
        <w:rPr>
          <w:rFonts w:cs="Times New Roman"/>
          <w:szCs w:val="24"/>
        </w:rPr>
      </w:pPr>
      <w:r>
        <w:rPr>
          <w:rFonts w:cs="Times New Roman"/>
          <w:szCs w:val="24"/>
        </w:rPr>
        <w:t>Ūkinių operacijų bei ūkinių įvykių pripažinimo, apskaitos ar dėl jų atsirandančio turto, įsipareigojimų, finansavimo sumų, pajamų ir (arba) sąnaudų vertinimo apskaitoje pakeitimas yra laikomas apskaitos politikos keitimu.</w:t>
      </w:r>
      <w:bookmarkStart w:id="43" w:name="_Ref184793131"/>
    </w:p>
    <w:p w:rsidR="00A004BD" w:rsidRDefault="00A004BD">
      <w:pPr>
        <w:widowControl w:val="0"/>
        <w:numPr>
          <w:ilvl w:val="0"/>
          <w:numId w:val="2"/>
        </w:numPr>
        <w:shd w:val="clear" w:color="auto" w:fill="FFFFFF"/>
        <w:tabs>
          <w:tab w:val="left" w:pos="1980"/>
        </w:tabs>
        <w:autoSpaceDE w:val="0"/>
        <w:spacing w:line="360" w:lineRule="auto"/>
        <w:ind w:left="540" w:right="96" w:hanging="540"/>
        <w:jc w:val="both"/>
      </w:pPr>
      <w:r>
        <w:rPr>
          <w:rFonts w:cs="Times New Roman"/>
          <w:szCs w:val="24"/>
        </w:rPr>
        <w:t>Apskaitos politika keičiama dėl VSAFAS pasikeitimo arba jei kiti teisės aktai to reikalauja. Apskaitos politikos keitimas finansinėse ataskaitose parodomas taikant retrospektyvinį būdą, t.y. nauja apskaitos politika taikoma taip, lyg ji visada būtų buvusi naudojama, todėl pakeista apskaitos politika yra pritaikoma ūkinėms operacijoms ir ūkiniams įvykiams nuo jų atsiradimo. Poveikis, kurį daro apskaitos politikos keitimas einamojo ataskaitinio laikotarpio informacijai ir darytų ankstesnių ataskaitinių laikotarpių informacijai, registruojamas apskaitoje tą ataskaitinį laikotarpį, kurį apskaitos politika pakeičiama ir parodomas einamojo ataskaitinio laikotarpio veiklos rezultatų ataskaitos eilutėje „Apskaitos politikos keitimo bei esminių klaidų taisymo įtaka“. Šioje eilutėje yra parodoma apskaitos politikos keitimo poveikio dalis, susijusi su ankstesniais ataskaitiniais laikotarpiais. Lyginamoji ankstesnio ataskaitinio laikotarpio informacija finansinėse ataskaitose pateikiama tokia, kokia buvo, t.y. nėra koreguojama.</w:t>
      </w:r>
      <w:bookmarkEnd w:id="43"/>
    </w:p>
    <w:p w:rsidR="00A004BD" w:rsidRDefault="00A004BD">
      <w:pPr>
        <w:spacing w:line="360" w:lineRule="auto"/>
        <w:ind w:right="96" w:firstLine="1298"/>
      </w:pPr>
    </w:p>
    <w:p w:rsidR="00A004BD" w:rsidRDefault="00A004BD">
      <w:pPr>
        <w:pStyle w:val="Antrat2"/>
        <w:numPr>
          <w:ilvl w:val="0"/>
          <w:numId w:val="0"/>
        </w:numPr>
        <w:spacing w:before="0" w:after="0" w:line="360" w:lineRule="auto"/>
        <w:jc w:val="center"/>
      </w:pPr>
      <w:bookmarkStart w:id="44" w:name="__RefHeading___Toc286759996"/>
      <w:bookmarkEnd w:id="44"/>
      <w:r>
        <w:rPr>
          <w:rFonts w:ascii="Times New Roman" w:hAnsi="Times New Roman" w:cs="Times New Roman"/>
          <w:i w:val="0"/>
          <w:color w:val="000000"/>
          <w:spacing w:val="-1"/>
          <w:w w:val="103"/>
          <w:sz w:val="24"/>
        </w:rPr>
        <w:t>Apskaitinių įverčių keitimas</w:t>
      </w:r>
    </w:p>
    <w:p w:rsidR="00A004BD" w:rsidRDefault="00A004BD">
      <w:pPr>
        <w:tabs>
          <w:tab w:val="left" w:pos="360"/>
        </w:tabs>
        <w:spacing w:line="360" w:lineRule="auto"/>
        <w:ind w:right="96" w:firstLine="1298"/>
      </w:pPr>
    </w:p>
    <w:p w:rsidR="00A004BD" w:rsidRDefault="00A004BD">
      <w:pPr>
        <w:widowControl w:val="0"/>
        <w:numPr>
          <w:ilvl w:val="0"/>
          <w:numId w:val="2"/>
        </w:numPr>
        <w:shd w:val="clear" w:color="auto" w:fill="FFFFFF"/>
        <w:tabs>
          <w:tab w:val="left" w:pos="1980"/>
        </w:tabs>
        <w:autoSpaceDE w:val="0"/>
        <w:spacing w:line="360" w:lineRule="auto"/>
        <w:ind w:left="540" w:right="96" w:hanging="540"/>
        <w:jc w:val="both"/>
        <w:rPr>
          <w:rFonts w:cs="Times New Roman"/>
          <w:szCs w:val="24"/>
        </w:rPr>
      </w:pPr>
      <w:r>
        <w:rPr>
          <w:rFonts w:cs="Times New Roman"/>
          <w:szCs w:val="24"/>
        </w:rPr>
        <w:t>Apskaitinių įverčių keitimo principai ir taisyklės nustatyti 7-ajame VSAFAS „Apskaitos politikos, apskaitinių įverčių keitimas ir klaidų taisymas“.</w:t>
      </w:r>
    </w:p>
    <w:p w:rsidR="00A004BD" w:rsidRDefault="00A004BD">
      <w:pPr>
        <w:widowControl w:val="0"/>
        <w:numPr>
          <w:ilvl w:val="0"/>
          <w:numId w:val="2"/>
        </w:numPr>
        <w:shd w:val="clear" w:color="auto" w:fill="FFFFFF"/>
        <w:tabs>
          <w:tab w:val="left" w:pos="1980"/>
        </w:tabs>
        <w:autoSpaceDE w:val="0"/>
        <w:spacing w:line="360" w:lineRule="auto"/>
        <w:ind w:left="540" w:right="96" w:hanging="540"/>
        <w:jc w:val="both"/>
        <w:rPr>
          <w:rFonts w:cs="Times New Roman"/>
          <w:szCs w:val="24"/>
        </w:rPr>
      </w:pPr>
      <w:r>
        <w:rPr>
          <w:rFonts w:cs="Times New Roman"/>
          <w:szCs w:val="24"/>
        </w:rPr>
        <w:t>Apskaitiniai įverčiai yra peržiūrimi tuo atveju, jei pasikeičia aplinkybės, kuriomis buvo remtasi atliekant įvertinimą arba atsiranda papildomos informacijos ar kitų įvykių.</w:t>
      </w:r>
    </w:p>
    <w:p w:rsidR="00A004BD" w:rsidRDefault="00A004BD">
      <w:pPr>
        <w:widowControl w:val="0"/>
        <w:numPr>
          <w:ilvl w:val="0"/>
          <w:numId w:val="2"/>
        </w:numPr>
        <w:shd w:val="clear" w:color="auto" w:fill="FFFFFF"/>
        <w:tabs>
          <w:tab w:val="left" w:pos="1980"/>
        </w:tabs>
        <w:autoSpaceDE w:val="0"/>
        <w:spacing w:line="360" w:lineRule="auto"/>
        <w:ind w:left="540" w:right="96" w:hanging="540"/>
        <w:jc w:val="both"/>
        <w:rPr>
          <w:rFonts w:cs="Times New Roman"/>
          <w:szCs w:val="24"/>
        </w:rPr>
      </w:pPr>
      <w:r>
        <w:rPr>
          <w:rFonts w:cs="Times New Roman"/>
          <w:szCs w:val="24"/>
        </w:rPr>
        <w:lastRenderedPageBreak/>
        <w:t>Apskaitinio įverčio pasikeitimo poveikis nustatant grynąjį perviršį ar deficitą priskiriamas:</w:t>
      </w:r>
    </w:p>
    <w:p w:rsidR="00A004BD" w:rsidRDefault="00A004BD">
      <w:pPr>
        <w:widowControl w:val="0"/>
        <w:numPr>
          <w:ilvl w:val="1"/>
          <w:numId w:val="2"/>
        </w:numPr>
        <w:shd w:val="clear" w:color="auto" w:fill="FFFFFF"/>
        <w:tabs>
          <w:tab w:val="left" w:pos="540"/>
        </w:tabs>
        <w:autoSpaceDE w:val="0"/>
        <w:spacing w:line="360" w:lineRule="auto"/>
        <w:ind w:right="96"/>
        <w:jc w:val="both"/>
        <w:rPr>
          <w:rFonts w:cs="Times New Roman"/>
          <w:szCs w:val="24"/>
        </w:rPr>
      </w:pPr>
      <w:r>
        <w:rPr>
          <w:rFonts w:cs="Times New Roman"/>
          <w:szCs w:val="24"/>
        </w:rPr>
        <w:t>laikotarpiui, kada įvyko pasikeitimas, jei jis turi įtakos tik tam laikotarpiui;</w:t>
      </w:r>
    </w:p>
    <w:p w:rsidR="00A004BD" w:rsidRDefault="00A004BD">
      <w:pPr>
        <w:widowControl w:val="0"/>
        <w:numPr>
          <w:ilvl w:val="1"/>
          <w:numId w:val="2"/>
        </w:numPr>
        <w:shd w:val="clear" w:color="auto" w:fill="FFFFFF"/>
        <w:tabs>
          <w:tab w:val="left" w:pos="540"/>
        </w:tabs>
        <w:autoSpaceDE w:val="0"/>
        <w:spacing w:line="360" w:lineRule="auto"/>
        <w:ind w:right="96"/>
        <w:jc w:val="both"/>
        <w:rPr>
          <w:rFonts w:cs="Times New Roman"/>
          <w:szCs w:val="24"/>
        </w:rPr>
      </w:pPr>
      <w:r>
        <w:rPr>
          <w:rFonts w:cs="Times New Roman"/>
          <w:szCs w:val="24"/>
        </w:rPr>
        <w:t>laikotarpiui, kada įvyko pasikeitimas, ir vėlesniems laikotarpiams, jei pasikeitimas turi įtakos ir jiems.</w:t>
      </w:r>
    </w:p>
    <w:p w:rsidR="00A004BD" w:rsidRDefault="00A004BD">
      <w:pPr>
        <w:widowControl w:val="0"/>
        <w:numPr>
          <w:ilvl w:val="0"/>
          <w:numId w:val="2"/>
        </w:numPr>
        <w:shd w:val="clear" w:color="auto" w:fill="FFFFFF"/>
        <w:tabs>
          <w:tab w:val="left" w:pos="1980"/>
        </w:tabs>
        <w:autoSpaceDE w:val="0"/>
        <w:spacing w:line="360" w:lineRule="auto"/>
        <w:ind w:left="540" w:right="96" w:hanging="540"/>
        <w:jc w:val="both"/>
        <w:rPr>
          <w:rFonts w:cs="Times New Roman"/>
          <w:szCs w:val="24"/>
        </w:rPr>
      </w:pPr>
      <w:r>
        <w:rPr>
          <w:rFonts w:cs="Times New Roman"/>
          <w:szCs w:val="24"/>
        </w:rPr>
        <w:t>L/d „Žilvitis“ apskaitinio įverčio pasikeitimo rezultatas įtraukiamas į tą veiklos rezultatų ataskaitos eilutę, kurioje buvo parodytas pirminis įvertis, nebent pasikeitimas ataskaitiniu laikotarpiu turi įtakos tik finansinės būklės ataskaitos straipsniams. Informacija, susijusi su apskaitinio įverčio pakeitimu, pateikiama aiškinamajame rašte.</w:t>
      </w:r>
    </w:p>
    <w:p w:rsidR="00A004BD" w:rsidRDefault="00A004BD">
      <w:pPr>
        <w:widowControl w:val="0"/>
        <w:numPr>
          <w:ilvl w:val="0"/>
          <w:numId w:val="2"/>
        </w:numPr>
        <w:shd w:val="clear" w:color="auto" w:fill="FFFFFF"/>
        <w:tabs>
          <w:tab w:val="left" w:pos="1980"/>
        </w:tabs>
        <w:autoSpaceDE w:val="0"/>
        <w:spacing w:line="360" w:lineRule="auto"/>
        <w:ind w:left="540" w:right="96" w:hanging="540"/>
        <w:jc w:val="both"/>
        <w:rPr>
          <w:rFonts w:cs="Times New Roman"/>
          <w:szCs w:val="24"/>
        </w:rPr>
      </w:pPr>
      <w:r>
        <w:rPr>
          <w:rFonts w:cs="Times New Roman"/>
          <w:szCs w:val="24"/>
        </w:rPr>
        <w:t>Apskaitos politika laikomas pasirinktas apskaitos metodas (pvz., nusidėvėjimas skaičiuojamas tiesioginiu metodu), o apskaitiniu įverčiu laikoma įstaigos pasirinkta apskaičiavimo taisyklė (pvz. konkretūs nusidėvėjimo normatyvai).</w:t>
      </w:r>
    </w:p>
    <w:p w:rsidR="00A004BD" w:rsidRDefault="00A004BD">
      <w:pPr>
        <w:tabs>
          <w:tab w:val="left" w:pos="1980"/>
        </w:tabs>
        <w:spacing w:line="360" w:lineRule="auto"/>
        <w:ind w:right="96"/>
        <w:jc w:val="both"/>
        <w:rPr>
          <w:rFonts w:cs="Times New Roman"/>
          <w:szCs w:val="24"/>
        </w:rPr>
      </w:pPr>
    </w:p>
    <w:p w:rsidR="00A004BD" w:rsidRDefault="00A004BD">
      <w:pPr>
        <w:pStyle w:val="Antrat2"/>
        <w:numPr>
          <w:ilvl w:val="0"/>
          <w:numId w:val="0"/>
        </w:numPr>
        <w:spacing w:before="0" w:after="0" w:line="360" w:lineRule="auto"/>
        <w:jc w:val="center"/>
        <w:rPr>
          <w:rFonts w:ascii="Times New Roman" w:hAnsi="Times New Roman" w:cs="Times New Roman"/>
          <w:i w:val="0"/>
          <w:color w:val="000000"/>
          <w:spacing w:val="-1"/>
          <w:w w:val="103"/>
          <w:sz w:val="24"/>
        </w:rPr>
      </w:pPr>
      <w:bookmarkStart w:id="45" w:name="__RefHeading___Toc286759997"/>
      <w:bookmarkEnd w:id="45"/>
      <w:r>
        <w:rPr>
          <w:rFonts w:ascii="Times New Roman" w:hAnsi="Times New Roman" w:cs="Times New Roman"/>
          <w:i w:val="0"/>
          <w:color w:val="000000"/>
          <w:spacing w:val="-1"/>
          <w:w w:val="103"/>
          <w:sz w:val="24"/>
        </w:rPr>
        <w:t>Apskaitos klaidų taisymas</w:t>
      </w:r>
    </w:p>
    <w:p w:rsidR="00A004BD" w:rsidRDefault="00A004BD">
      <w:pPr>
        <w:pStyle w:val="Antrat2"/>
        <w:numPr>
          <w:ilvl w:val="0"/>
          <w:numId w:val="0"/>
        </w:numPr>
        <w:spacing w:before="0" w:after="0" w:line="360" w:lineRule="auto"/>
        <w:ind w:left="360"/>
        <w:rPr>
          <w:rFonts w:ascii="Times New Roman" w:hAnsi="Times New Roman" w:cs="Times New Roman"/>
          <w:i w:val="0"/>
          <w:color w:val="000000"/>
          <w:spacing w:val="-1"/>
          <w:w w:val="103"/>
          <w:sz w:val="24"/>
        </w:rPr>
      </w:pPr>
    </w:p>
    <w:p w:rsidR="00A004BD" w:rsidRDefault="00A004BD">
      <w:pPr>
        <w:widowControl w:val="0"/>
        <w:numPr>
          <w:ilvl w:val="0"/>
          <w:numId w:val="2"/>
        </w:numPr>
        <w:shd w:val="clear" w:color="auto" w:fill="FFFFFF"/>
        <w:tabs>
          <w:tab w:val="left" w:pos="1980"/>
        </w:tabs>
        <w:autoSpaceDE w:val="0"/>
        <w:spacing w:line="360" w:lineRule="auto"/>
        <w:ind w:left="540" w:right="96" w:hanging="540"/>
        <w:jc w:val="both"/>
        <w:rPr>
          <w:rFonts w:cs="Times New Roman"/>
          <w:szCs w:val="24"/>
        </w:rPr>
      </w:pPr>
      <w:r>
        <w:rPr>
          <w:rFonts w:cs="Times New Roman"/>
          <w:szCs w:val="24"/>
        </w:rPr>
        <w:t>Apskaitos klaidų taisymo taisyklės nustatytos 7-ajame VSAFAS „Apskaitos politikos, apskaitinių įverčių keitimas ir klaidų taisymas“.</w:t>
      </w:r>
    </w:p>
    <w:p w:rsidR="00A004BD" w:rsidRDefault="00A004BD">
      <w:pPr>
        <w:widowControl w:val="0"/>
        <w:numPr>
          <w:ilvl w:val="0"/>
          <w:numId w:val="2"/>
        </w:numPr>
        <w:shd w:val="clear" w:color="auto" w:fill="FFFFFF"/>
        <w:tabs>
          <w:tab w:val="left" w:pos="1980"/>
        </w:tabs>
        <w:autoSpaceDE w:val="0"/>
        <w:spacing w:line="360" w:lineRule="auto"/>
        <w:ind w:left="540" w:right="96" w:hanging="540"/>
        <w:jc w:val="both"/>
        <w:rPr>
          <w:rFonts w:cs="Times New Roman"/>
          <w:szCs w:val="24"/>
        </w:rPr>
      </w:pPr>
      <w:r>
        <w:rPr>
          <w:rFonts w:cs="Times New Roman"/>
          <w:szCs w:val="24"/>
        </w:rPr>
        <w:t>Ataskaitiniu laikotarpiu gali būti pastebėtos apskaitos klaidos, padarytos praėjusių ataskaitinių laikotarpių finansinėse ataskaitose. Apskaitos klaida laikoma esmine, jei jos vertinė išraiška individualiai arba kartu su kitų to ataskaitinio laikotarpio klaidų vertinėmis išraiškomis yra didesnė nei 0,5% per finansinius metus gautų finansavimo sumų vertės arba 0,25% turto vertės.</w:t>
      </w:r>
    </w:p>
    <w:p w:rsidR="00A004BD" w:rsidRDefault="00A004BD">
      <w:pPr>
        <w:widowControl w:val="0"/>
        <w:numPr>
          <w:ilvl w:val="0"/>
          <w:numId w:val="2"/>
        </w:numPr>
        <w:shd w:val="clear" w:color="auto" w:fill="FFFFFF"/>
        <w:tabs>
          <w:tab w:val="left" w:pos="1980"/>
        </w:tabs>
        <w:autoSpaceDE w:val="0"/>
        <w:spacing w:line="360" w:lineRule="auto"/>
        <w:ind w:left="540" w:right="96" w:hanging="540"/>
        <w:jc w:val="both"/>
        <w:rPr>
          <w:rFonts w:cs="Times New Roman"/>
          <w:szCs w:val="24"/>
        </w:rPr>
      </w:pPr>
      <w:bookmarkStart w:id="46" w:name="_Ref190839449"/>
      <w:r>
        <w:rPr>
          <w:rFonts w:cs="Times New Roman"/>
          <w:szCs w:val="24"/>
        </w:rPr>
        <w:t>Ir esminės, ir neesminės apskaitos klaidos taisomos einamojo ataskaitinio laikotarpio finansinėse ataskaitose. Apskaitos klaidų taisymo įtaka finansinėse ataskaitose parodoma taip:</w:t>
      </w:r>
      <w:bookmarkEnd w:id="46"/>
    </w:p>
    <w:p w:rsidR="00A004BD" w:rsidRDefault="00A004BD">
      <w:pPr>
        <w:widowControl w:val="0"/>
        <w:numPr>
          <w:ilvl w:val="1"/>
          <w:numId w:val="2"/>
        </w:numPr>
        <w:shd w:val="clear" w:color="auto" w:fill="FFFFFF"/>
        <w:tabs>
          <w:tab w:val="left" w:pos="540"/>
        </w:tabs>
        <w:autoSpaceDE w:val="0"/>
        <w:spacing w:line="360" w:lineRule="auto"/>
        <w:ind w:left="1260" w:right="96" w:hanging="692"/>
        <w:jc w:val="both"/>
        <w:rPr>
          <w:rFonts w:cs="Times New Roman"/>
          <w:szCs w:val="24"/>
        </w:rPr>
      </w:pPr>
      <w:r>
        <w:rPr>
          <w:rFonts w:cs="Times New Roman"/>
          <w:szCs w:val="24"/>
        </w:rPr>
        <w:t>jei apskaitos klaida nėra esminė, jos taisymas registruojamas toje pačioje sąskaitoje, kurioje buvo užregistruota klaidinga informacija, ir parodomas toje pačioje veiklos rezultatų ataskaitos eilutėje, kurioje buvo pateikta klaidinga informacija;</w:t>
      </w:r>
    </w:p>
    <w:p w:rsidR="00A004BD" w:rsidRDefault="00A004BD">
      <w:pPr>
        <w:widowControl w:val="0"/>
        <w:numPr>
          <w:ilvl w:val="1"/>
          <w:numId w:val="2"/>
        </w:numPr>
        <w:shd w:val="clear" w:color="auto" w:fill="FFFFFF"/>
        <w:tabs>
          <w:tab w:val="left" w:pos="540"/>
        </w:tabs>
        <w:autoSpaceDE w:val="0"/>
        <w:spacing w:line="360" w:lineRule="auto"/>
        <w:ind w:left="1260" w:right="96" w:hanging="692"/>
        <w:jc w:val="both"/>
        <w:rPr>
          <w:rFonts w:cs="Times New Roman"/>
          <w:szCs w:val="24"/>
        </w:rPr>
      </w:pPr>
      <w:r>
        <w:rPr>
          <w:rFonts w:cs="Times New Roman"/>
          <w:szCs w:val="24"/>
        </w:rPr>
        <w:t>jei apskaitos klaida esminė, jos taisymas registruojamas tam skirtoje sąskaitoje ir parodomas veiklos rezultatų ataskaitos eilutėje „Apskaitos politikos keitimo bei esminių apskaitos klaidų taisymo įtaka“. Lyginamoji ankstesniojo ataskaitinio laikotarpio finansinė informacija pateikiama tokia, kokia buvo, t.y. nekoreguojama. Su esminės klaidos taisymu susijusi informacija pateikiama aiškinamajame rašte.</w:t>
      </w:r>
    </w:p>
    <w:p w:rsidR="00A004BD" w:rsidRDefault="00A004BD">
      <w:pPr>
        <w:tabs>
          <w:tab w:val="left" w:pos="1980"/>
        </w:tabs>
        <w:spacing w:line="360" w:lineRule="auto"/>
        <w:ind w:right="96"/>
        <w:jc w:val="both"/>
        <w:rPr>
          <w:rFonts w:cs="Times New Roman"/>
          <w:szCs w:val="24"/>
        </w:rPr>
      </w:pPr>
    </w:p>
    <w:p w:rsidR="00A004BD" w:rsidRDefault="00A004BD">
      <w:pPr>
        <w:pStyle w:val="Antrat1"/>
        <w:numPr>
          <w:ilvl w:val="0"/>
          <w:numId w:val="3"/>
        </w:numPr>
        <w:spacing w:before="0" w:after="0" w:line="360" w:lineRule="auto"/>
        <w:jc w:val="center"/>
        <w:rPr>
          <w:rFonts w:ascii="Times New Roman" w:hAnsi="Times New Roman" w:cs="Times New Roman"/>
          <w:sz w:val="24"/>
          <w:szCs w:val="24"/>
        </w:rPr>
      </w:pPr>
      <w:bookmarkStart w:id="47" w:name="__RefHeading___Toc286759998"/>
      <w:bookmarkEnd w:id="47"/>
      <w:r>
        <w:rPr>
          <w:rFonts w:ascii="Times New Roman" w:hAnsi="Times New Roman" w:cs="Times New Roman"/>
          <w:bCs w:val="0"/>
          <w:caps/>
          <w:sz w:val="24"/>
          <w:szCs w:val="24"/>
        </w:rPr>
        <w:t>FINANSINIŲ ATASKAITŲ RINKINYS</w:t>
      </w:r>
    </w:p>
    <w:p w:rsidR="00A004BD" w:rsidRDefault="00A004BD">
      <w:pPr>
        <w:pStyle w:val="Antrat2"/>
        <w:numPr>
          <w:ilvl w:val="0"/>
          <w:numId w:val="0"/>
        </w:numPr>
        <w:tabs>
          <w:tab w:val="left" w:pos="1620"/>
        </w:tabs>
        <w:spacing w:before="0" w:after="120"/>
        <w:ind w:left="120"/>
        <w:jc w:val="center"/>
        <w:rPr>
          <w:rFonts w:ascii="Times New Roman" w:hAnsi="Times New Roman" w:cs="Times New Roman"/>
          <w:i w:val="0"/>
          <w:iCs w:val="0"/>
          <w:sz w:val="24"/>
          <w:szCs w:val="24"/>
        </w:rPr>
      </w:pPr>
    </w:p>
    <w:p w:rsidR="00A004BD" w:rsidRDefault="00A004BD">
      <w:pPr>
        <w:pStyle w:val="Antrat2"/>
        <w:numPr>
          <w:ilvl w:val="0"/>
          <w:numId w:val="0"/>
        </w:numPr>
        <w:tabs>
          <w:tab w:val="left" w:pos="1620"/>
        </w:tabs>
        <w:spacing w:before="0" w:after="120"/>
        <w:ind w:left="120"/>
        <w:jc w:val="center"/>
        <w:rPr>
          <w:rFonts w:cs="Times New Roman"/>
          <w:szCs w:val="24"/>
        </w:rPr>
      </w:pPr>
      <w:bookmarkStart w:id="48" w:name="__RefHeading___Toc286759999"/>
      <w:bookmarkEnd w:id="48"/>
      <w:r>
        <w:rPr>
          <w:rFonts w:ascii="Times New Roman" w:hAnsi="Times New Roman" w:cs="Times New Roman"/>
          <w:i w:val="0"/>
          <w:iCs w:val="0"/>
          <w:sz w:val="24"/>
          <w:szCs w:val="24"/>
        </w:rPr>
        <w:t>Finansinių ataskaitų rinkinys</w:t>
      </w:r>
    </w:p>
    <w:p w:rsidR="00A004BD" w:rsidRDefault="00A004BD">
      <w:pPr>
        <w:tabs>
          <w:tab w:val="left" w:pos="1980"/>
        </w:tabs>
        <w:spacing w:line="360" w:lineRule="auto"/>
        <w:ind w:right="96"/>
        <w:jc w:val="both"/>
        <w:rPr>
          <w:rFonts w:cs="Times New Roman"/>
          <w:szCs w:val="24"/>
        </w:rPr>
      </w:pPr>
    </w:p>
    <w:p w:rsidR="00A004BD" w:rsidRDefault="00A004BD">
      <w:pPr>
        <w:widowControl w:val="0"/>
        <w:numPr>
          <w:ilvl w:val="0"/>
          <w:numId w:val="2"/>
        </w:numPr>
        <w:shd w:val="clear" w:color="auto" w:fill="FFFFFF"/>
        <w:tabs>
          <w:tab w:val="left" w:pos="1980"/>
        </w:tabs>
        <w:autoSpaceDE w:val="0"/>
        <w:spacing w:line="360" w:lineRule="auto"/>
        <w:ind w:left="540" w:right="96" w:hanging="540"/>
        <w:jc w:val="both"/>
        <w:rPr>
          <w:rFonts w:cs="Times New Roman"/>
          <w:szCs w:val="24"/>
        </w:rPr>
      </w:pPr>
      <w:r>
        <w:rPr>
          <w:rFonts w:cs="Times New Roman"/>
          <w:szCs w:val="24"/>
        </w:rPr>
        <w:t xml:space="preserve">Finansinių ataskaitų rinkinio tikslas – pateikti informaciją vartotojams, kurie neturi galimybės </w:t>
      </w:r>
      <w:r>
        <w:rPr>
          <w:rFonts w:cs="Times New Roman"/>
          <w:szCs w:val="24"/>
        </w:rPr>
        <w:lastRenderedPageBreak/>
        <w:t>pareikalauti konkrečius jų poreikius atitinkančių ataskaitų.</w:t>
      </w:r>
    </w:p>
    <w:p w:rsidR="00A004BD" w:rsidRDefault="00A004BD">
      <w:pPr>
        <w:widowControl w:val="0"/>
        <w:numPr>
          <w:ilvl w:val="0"/>
          <w:numId w:val="2"/>
        </w:numPr>
        <w:shd w:val="clear" w:color="auto" w:fill="FFFFFF"/>
        <w:tabs>
          <w:tab w:val="left" w:pos="1980"/>
        </w:tabs>
        <w:autoSpaceDE w:val="0"/>
        <w:spacing w:line="360" w:lineRule="auto"/>
        <w:ind w:left="540" w:right="96" w:hanging="540"/>
        <w:jc w:val="both"/>
        <w:rPr>
          <w:rFonts w:cs="Times New Roman"/>
          <w:szCs w:val="24"/>
        </w:rPr>
      </w:pPr>
      <w:r>
        <w:rPr>
          <w:rFonts w:cs="Times New Roman"/>
          <w:szCs w:val="24"/>
        </w:rPr>
        <w:t>Finansinių ataskaitų informacijos vartotojai yra mokesčių mokėtojai, valstybės valdžios institucijų nariai,  L/d „Žilvitis“ kreditoriai, tiekėjai ir pan. Finansinių ataskaitų rinkinyje pateikiama informacija apie įstaigos finansinę būklę, veiklos rezultatus, grynąjį turtą bei pinigų srautus, kuria naudojasi vartotojai priimdami ir vertindami sprendimus dėl išteklių paskirstymo ir jų naudojimo teikiant viešąsias paslaugas.</w:t>
      </w:r>
    </w:p>
    <w:p w:rsidR="00A004BD" w:rsidRDefault="00A004BD">
      <w:pPr>
        <w:widowControl w:val="0"/>
        <w:numPr>
          <w:ilvl w:val="0"/>
          <w:numId w:val="2"/>
        </w:numPr>
        <w:shd w:val="clear" w:color="auto" w:fill="FFFFFF"/>
        <w:tabs>
          <w:tab w:val="left" w:pos="1980"/>
        </w:tabs>
        <w:autoSpaceDE w:val="0"/>
        <w:spacing w:line="360" w:lineRule="auto"/>
        <w:ind w:left="540" w:right="96" w:hanging="540"/>
        <w:jc w:val="both"/>
        <w:rPr>
          <w:rFonts w:cs="Times New Roman"/>
          <w:szCs w:val="24"/>
        </w:rPr>
      </w:pPr>
      <w:r>
        <w:rPr>
          <w:rFonts w:cs="Times New Roman"/>
          <w:szCs w:val="24"/>
        </w:rPr>
        <w:t>Įstaiga rengia žemesniojo lygio finansinių ataskaitų rinkinį.</w:t>
      </w:r>
    </w:p>
    <w:p w:rsidR="00A004BD" w:rsidRDefault="00A004BD">
      <w:pPr>
        <w:widowControl w:val="0"/>
        <w:numPr>
          <w:ilvl w:val="0"/>
          <w:numId w:val="2"/>
        </w:numPr>
        <w:shd w:val="clear" w:color="auto" w:fill="FFFFFF"/>
        <w:tabs>
          <w:tab w:val="left" w:pos="1980"/>
        </w:tabs>
        <w:autoSpaceDE w:val="0"/>
        <w:spacing w:line="360" w:lineRule="auto"/>
        <w:jc w:val="both"/>
        <w:rPr>
          <w:rFonts w:cs="Times New Roman"/>
          <w:szCs w:val="24"/>
        </w:rPr>
      </w:pPr>
      <w:r>
        <w:rPr>
          <w:rFonts w:cs="Times New Roman"/>
          <w:szCs w:val="24"/>
        </w:rPr>
        <w:t>L/d „Žilvitis“ finansinėse ataskaitose visas sumas pateikia Lietuvos Respublikos piniginiais vienetais. Nuo 2002 m. vasario 2 d. litas yra susietas su euru santykiu 3,4528 lito už 1 eurą, o lito kursą kitų valiutų atžvilgiu kasdien nustato Lietuvos bankas</w:t>
      </w:r>
      <w:r>
        <w:t>.</w:t>
      </w:r>
    </w:p>
    <w:p w:rsidR="00A004BD" w:rsidRDefault="00A004BD">
      <w:pPr>
        <w:tabs>
          <w:tab w:val="left" w:pos="360"/>
          <w:tab w:val="left" w:pos="1260"/>
        </w:tabs>
        <w:spacing w:line="360" w:lineRule="auto"/>
        <w:ind w:right="96" w:firstLine="1298"/>
        <w:jc w:val="center"/>
        <w:rPr>
          <w:rFonts w:cs="Times New Roman"/>
          <w:szCs w:val="24"/>
        </w:rPr>
      </w:pPr>
    </w:p>
    <w:p w:rsidR="00A004BD" w:rsidRDefault="00A004BD">
      <w:pPr>
        <w:pStyle w:val="Antrat2"/>
        <w:numPr>
          <w:ilvl w:val="0"/>
          <w:numId w:val="0"/>
        </w:numPr>
        <w:spacing w:before="0" w:after="0" w:line="360" w:lineRule="auto"/>
        <w:jc w:val="center"/>
        <w:rPr>
          <w:rFonts w:cs="Times New Roman"/>
          <w:szCs w:val="24"/>
        </w:rPr>
      </w:pPr>
      <w:bookmarkStart w:id="49" w:name="__RefHeading___Toc286760000"/>
      <w:bookmarkEnd w:id="49"/>
      <w:r>
        <w:rPr>
          <w:rFonts w:ascii="Times New Roman" w:hAnsi="Times New Roman" w:cs="Times New Roman"/>
          <w:i w:val="0"/>
          <w:color w:val="000000"/>
          <w:spacing w:val="-1"/>
          <w:w w:val="103"/>
          <w:sz w:val="24"/>
        </w:rPr>
        <w:t>Ataskaitinis laikotarpis</w:t>
      </w:r>
    </w:p>
    <w:p w:rsidR="00A004BD" w:rsidRDefault="00A004BD">
      <w:pPr>
        <w:tabs>
          <w:tab w:val="left" w:pos="360"/>
          <w:tab w:val="left" w:pos="1260"/>
        </w:tabs>
        <w:spacing w:line="360" w:lineRule="auto"/>
        <w:ind w:right="96" w:firstLine="1298"/>
        <w:jc w:val="center"/>
        <w:rPr>
          <w:rFonts w:cs="Times New Roman"/>
          <w:szCs w:val="24"/>
        </w:rPr>
      </w:pPr>
    </w:p>
    <w:p w:rsidR="00A004BD" w:rsidRDefault="00A004BD">
      <w:pPr>
        <w:widowControl w:val="0"/>
        <w:numPr>
          <w:ilvl w:val="0"/>
          <w:numId w:val="2"/>
        </w:numPr>
        <w:shd w:val="clear" w:color="auto" w:fill="FFFFFF"/>
        <w:tabs>
          <w:tab w:val="left" w:pos="1980"/>
        </w:tabs>
        <w:autoSpaceDE w:val="0"/>
        <w:spacing w:line="360" w:lineRule="auto"/>
        <w:ind w:left="540" w:right="96" w:hanging="540"/>
        <w:jc w:val="both"/>
        <w:rPr>
          <w:rFonts w:cs="Times New Roman"/>
          <w:szCs w:val="24"/>
        </w:rPr>
      </w:pPr>
      <w:r>
        <w:rPr>
          <w:rFonts w:cs="Times New Roman"/>
          <w:szCs w:val="24"/>
        </w:rPr>
        <w:t>L/d</w:t>
      </w:r>
      <w:bookmarkStart w:id="50" w:name="_Ref114027868"/>
      <w:r>
        <w:rPr>
          <w:rFonts w:cs="Times New Roman"/>
          <w:szCs w:val="24"/>
        </w:rPr>
        <w:t xml:space="preserve"> „Žilvitis“ teikia metinių ir tarpinių finansinių ataskaitų rinkinius Lietuvos Respublikos viešojo sektoriaus atskaitomybės įstatymo ir kitų teisės aktų nustatyta tvarka. Įstaigos finansiniai metai sutampa su kalendoriniais metais, tarpinis ataskaitinis laikotarpis sutampa su kalendoriniu ketvirčiu. Kai išskirtinėmis aplinkybėmis pateikiamas trumpesnio nei 12 mėnesių finansinių ataskaitų rinkinys (pavyzdžiui, steigimo arba reorganizavimo atvejais), be finansinių ataskaitų rinkinio laikotarpio  l/d „Žilvitis“ turi atskleisti:</w:t>
      </w:r>
      <w:bookmarkEnd w:id="50"/>
    </w:p>
    <w:p w:rsidR="00A004BD" w:rsidRDefault="00A004BD">
      <w:pPr>
        <w:widowControl w:val="0"/>
        <w:numPr>
          <w:ilvl w:val="1"/>
          <w:numId w:val="2"/>
        </w:numPr>
        <w:shd w:val="clear" w:color="auto" w:fill="FFFFFF"/>
        <w:tabs>
          <w:tab w:val="left" w:pos="540"/>
        </w:tabs>
        <w:autoSpaceDE w:val="0"/>
        <w:spacing w:line="360" w:lineRule="auto"/>
        <w:ind w:left="1260" w:right="96" w:hanging="692"/>
        <w:jc w:val="both"/>
        <w:rPr>
          <w:rFonts w:cs="Times New Roman"/>
          <w:szCs w:val="24"/>
        </w:rPr>
      </w:pPr>
      <w:r>
        <w:rPr>
          <w:rFonts w:cs="Times New Roman"/>
          <w:szCs w:val="24"/>
        </w:rPr>
        <w:t>priežastį, dėl kurios finansinių ataskaitų rinkinio laikotarpis nėra 12 mėnesių;</w:t>
      </w:r>
    </w:p>
    <w:p w:rsidR="00A004BD" w:rsidRDefault="00A004BD">
      <w:pPr>
        <w:widowControl w:val="0"/>
        <w:numPr>
          <w:ilvl w:val="1"/>
          <w:numId w:val="2"/>
        </w:numPr>
        <w:shd w:val="clear" w:color="auto" w:fill="FFFFFF"/>
        <w:tabs>
          <w:tab w:val="left" w:pos="540"/>
        </w:tabs>
        <w:autoSpaceDE w:val="0"/>
        <w:spacing w:line="360" w:lineRule="auto"/>
        <w:ind w:left="1260" w:right="96" w:hanging="692"/>
        <w:jc w:val="both"/>
        <w:rPr>
          <w:rFonts w:cs="Times New Roman"/>
          <w:szCs w:val="24"/>
        </w:rPr>
      </w:pPr>
      <w:r>
        <w:rPr>
          <w:rFonts w:cs="Times New Roman"/>
          <w:szCs w:val="24"/>
        </w:rPr>
        <w:t>faktą, kad tam tikrų ataskaitų, pavyzdžiui, veiklos rezultatų, grynojo turto pokyčių, pinigų srautų ir susijusių pastabų lyginamųjų sumų negalima palyginti.</w:t>
      </w:r>
    </w:p>
    <w:p w:rsidR="00A004BD" w:rsidRDefault="00A004BD">
      <w:pPr>
        <w:widowControl w:val="0"/>
        <w:shd w:val="clear" w:color="auto" w:fill="FFFFFF"/>
        <w:tabs>
          <w:tab w:val="left" w:pos="540"/>
        </w:tabs>
        <w:autoSpaceDE w:val="0"/>
        <w:spacing w:line="360" w:lineRule="auto"/>
        <w:ind w:left="568" w:right="96"/>
        <w:rPr>
          <w:rFonts w:cs="Times New Roman"/>
          <w:szCs w:val="24"/>
        </w:rPr>
      </w:pPr>
    </w:p>
    <w:p w:rsidR="00A004BD" w:rsidRDefault="00A004BD">
      <w:pPr>
        <w:pStyle w:val="Antrat2"/>
        <w:numPr>
          <w:ilvl w:val="0"/>
          <w:numId w:val="0"/>
        </w:numPr>
        <w:spacing w:before="0" w:after="0" w:line="360" w:lineRule="auto"/>
        <w:jc w:val="center"/>
        <w:rPr>
          <w:rFonts w:ascii="Times New Roman" w:hAnsi="Times New Roman" w:cs="Times New Roman"/>
          <w:i w:val="0"/>
          <w:color w:val="000000"/>
          <w:spacing w:val="-1"/>
          <w:w w:val="103"/>
          <w:sz w:val="24"/>
        </w:rPr>
      </w:pPr>
      <w:bookmarkStart w:id="51" w:name="__RefHeading___Toc286760001"/>
      <w:bookmarkEnd w:id="51"/>
      <w:r>
        <w:rPr>
          <w:rFonts w:ascii="Times New Roman" w:hAnsi="Times New Roman" w:cs="Times New Roman"/>
          <w:i w:val="0"/>
          <w:color w:val="000000"/>
          <w:spacing w:val="-1"/>
          <w:w w:val="103"/>
          <w:sz w:val="24"/>
        </w:rPr>
        <w:t>Finansinių ataskaitų rinkinio sudarymas ir teikimas</w:t>
      </w:r>
    </w:p>
    <w:p w:rsidR="00A004BD" w:rsidRDefault="00A004BD">
      <w:pPr>
        <w:pStyle w:val="Antrat2"/>
        <w:numPr>
          <w:ilvl w:val="0"/>
          <w:numId w:val="0"/>
        </w:numPr>
        <w:spacing w:before="0" w:after="0" w:line="360" w:lineRule="auto"/>
        <w:jc w:val="center"/>
        <w:rPr>
          <w:rFonts w:cs="Times New Roman"/>
          <w:szCs w:val="24"/>
        </w:rPr>
      </w:pPr>
      <w:bookmarkStart w:id="52" w:name="__RefHeading___Toc286760002"/>
      <w:bookmarkEnd w:id="52"/>
      <w:r>
        <w:rPr>
          <w:rFonts w:ascii="Times New Roman" w:hAnsi="Times New Roman" w:cs="Times New Roman"/>
          <w:i w:val="0"/>
          <w:color w:val="000000"/>
          <w:spacing w:val="-1"/>
          <w:w w:val="103"/>
          <w:sz w:val="24"/>
        </w:rPr>
        <w:t>Metinių finansinių ataskaitų rinkinys</w:t>
      </w:r>
    </w:p>
    <w:p w:rsidR="00A004BD" w:rsidRDefault="00A004BD">
      <w:pPr>
        <w:tabs>
          <w:tab w:val="left" w:pos="1980"/>
        </w:tabs>
        <w:spacing w:line="360" w:lineRule="auto"/>
        <w:ind w:right="96"/>
        <w:jc w:val="both"/>
        <w:rPr>
          <w:rFonts w:cs="Times New Roman"/>
          <w:szCs w:val="24"/>
        </w:rPr>
      </w:pPr>
    </w:p>
    <w:p w:rsidR="00A004BD" w:rsidRDefault="00A004BD">
      <w:pPr>
        <w:widowControl w:val="0"/>
        <w:numPr>
          <w:ilvl w:val="0"/>
          <w:numId w:val="2"/>
        </w:numPr>
        <w:shd w:val="clear" w:color="auto" w:fill="FFFFFF"/>
        <w:tabs>
          <w:tab w:val="left" w:pos="1980"/>
        </w:tabs>
        <w:autoSpaceDE w:val="0"/>
        <w:spacing w:line="360" w:lineRule="auto"/>
        <w:jc w:val="both"/>
        <w:rPr>
          <w:rFonts w:cs="Times New Roman"/>
          <w:szCs w:val="24"/>
        </w:rPr>
      </w:pPr>
      <w:r>
        <w:rPr>
          <w:rFonts w:cs="Times New Roman"/>
          <w:szCs w:val="24"/>
        </w:rPr>
        <w:t>L/d „Žilvitis“  metinių finansinių ataskaitų rinkinį sudaro šios ataskaitos:</w:t>
      </w:r>
    </w:p>
    <w:p w:rsidR="00A004BD" w:rsidRDefault="00A004BD">
      <w:pPr>
        <w:widowControl w:val="0"/>
        <w:numPr>
          <w:ilvl w:val="1"/>
          <w:numId w:val="2"/>
        </w:numPr>
        <w:shd w:val="clear" w:color="auto" w:fill="FFFFFF"/>
        <w:tabs>
          <w:tab w:val="left" w:pos="540"/>
        </w:tabs>
        <w:autoSpaceDE w:val="0"/>
        <w:spacing w:line="360" w:lineRule="auto"/>
        <w:ind w:right="96"/>
        <w:jc w:val="both"/>
        <w:rPr>
          <w:rFonts w:cs="Times New Roman"/>
          <w:szCs w:val="24"/>
        </w:rPr>
      </w:pPr>
      <w:r>
        <w:rPr>
          <w:rFonts w:cs="Times New Roman"/>
          <w:szCs w:val="24"/>
        </w:rPr>
        <w:t xml:space="preserve"> finansinės būklės ataskaita;</w:t>
      </w:r>
    </w:p>
    <w:p w:rsidR="00A004BD" w:rsidRDefault="00A004BD">
      <w:pPr>
        <w:widowControl w:val="0"/>
        <w:numPr>
          <w:ilvl w:val="1"/>
          <w:numId w:val="2"/>
        </w:numPr>
        <w:shd w:val="clear" w:color="auto" w:fill="FFFFFF"/>
        <w:tabs>
          <w:tab w:val="left" w:pos="540"/>
        </w:tabs>
        <w:autoSpaceDE w:val="0"/>
        <w:spacing w:line="360" w:lineRule="auto"/>
        <w:ind w:right="96"/>
        <w:jc w:val="both"/>
        <w:rPr>
          <w:rFonts w:cs="Times New Roman"/>
          <w:szCs w:val="24"/>
        </w:rPr>
      </w:pPr>
      <w:r>
        <w:rPr>
          <w:rFonts w:cs="Times New Roman"/>
          <w:szCs w:val="24"/>
        </w:rPr>
        <w:t>veiklos rezultatų ataskaita;</w:t>
      </w:r>
    </w:p>
    <w:p w:rsidR="00A004BD" w:rsidRDefault="00A004BD">
      <w:pPr>
        <w:widowControl w:val="0"/>
        <w:numPr>
          <w:ilvl w:val="1"/>
          <w:numId w:val="2"/>
        </w:numPr>
        <w:shd w:val="clear" w:color="auto" w:fill="FFFFFF"/>
        <w:tabs>
          <w:tab w:val="left" w:pos="540"/>
        </w:tabs>
        <w:autoSpaceDE w:val="0"/>
        <w:spacing w:line="360" w:lineRule="auto"/>
        <w:ind w:right="96"/>
        <w:jc w:val="both"/>
        <w:rPr>
          <w:rFonts w:cs="Times New Roman"/>
          <w:szCs w:val="24"/>
        </w:rPr>
      </w:pPr>
      <w:r>
        <w:rPr>
          <w:rFonts w:cs="Times New Roman"/>
          <w:szCs w:val="24"/>
        </w:rPr>
        <w:t>pinigų srautų ataskaita;</w:t>
      </w:r>
    </w:p>
    <w:p w:rsidR="00A004BD" w:rsidRDefault="00A004BD">
      <w:pPr>
        <w:widowControl w:val="0"/>
        <w:numPr>
          <w:ilvl w:val="1"/>
          <w:numId w:val="2"/>
        </w:numPr>
        <w:shd w:val="clear" w:color="auto" w:fill="FFFFFF"/>
        <w:tabs>
          <w:tab w:val="left" w:pos="540"/>
        </w:tabs>
        <w:autoSpaceDE w:val="0"/>
        <w:spacing w:line="360" w:lineRule="auto"/>
        <w:ind w:right="96"/>
        <w:jc w:val="both"/>
        <w:rPr>
          <w:rFonts w:cs="Times New Roman"/>
          <w:szCs w:val="24"/>
        </w:rPr>
      </w:pPr>
      <w:r>
        <w:rPr>
          <w:rFonts w:cs="Times New Roman"/>
          <w:szCs w:val="24"/>
        </w:rPr>
        <w:t>grynojo turto pokyčių ataskaita;</w:t>
      </w:r>
    </w:p>
    <w:p w:rsidR="00A004BD" w:rsidRDefault="00A004BD">
      <w:pPr>
        <w:widowControl w:val="0"/>
        <w:numPr>
          <w:ilvl w:val="1"/>
          <w:numId w:val="2"/>
        </w:numPr>
        <w:shd w:val="clear" w:color="auto" w:fill="FFFFFF"/>
        <w:tabs>
          <w:tab w:val="left" w:pos="540"/>
        </w:tabs>
        <w:autoSpaceDE w:val="0"/>
        <w:spacing w:line="360" w:lineRule="auto"/>
        <w:ind w:right="96"/>
        <w:jc w:val="both"/>
        <w:rPr>
          <w:rFonts w:cs="Times New Roman"/>
          <w:szCs w:val="24"/>
        </w:rPr>
      </w:pPr>
      <w:r>
        <w:rPr>
          <w:rFonts w:cs="Times New Roman"/>
          <w:szCs w:val="24"/>
        </w:rPr>
        <w:t>aiškinamasis raštas.</w:t>
      </w:r>
    </w:p>
    <w:p w:rsidR="00A004BD" w:rsidRDefault="00A004BD">
      <w:pPr>
        <w:widowControl w:val="0"/>
        <w:numPr>
          <w:ilvl w:val="0"/>
          <w:numId w:val="2"/>
        </w:numPr>
        <w:shd w:val="clear" w:color="auto" w:fill="FFFFFF"/>
        <w:tabs>
          <w:tab w:val="left" w:pos="1980"/>
        </w:tabs>
        <w:autoSpaceDE w:val="0"/>
        <w:spacing w:line="360" w:lineRule="auto"/>
        <w:ind w:left="540" w:right="96" w:hanging="540"/>
        <w:jc w:val="both"/>
        <w:rPr>
          <w:rFonts w:cs="Times New Roman"/>
          <w:szCs w:val="24"/>
        </w:rPr>
      </w:pPr>
      <w:r>
        <w:rPr>
          <w:rFonts w:cs="Times New Roman"/>
          <w:szCs w:val="24"/>
        </w:rPr>
        <w:t>Finansinių ataskaitų privalomos formos yra reglamentuotos 2-ajame – 6-ajame VSAFAS, taip pat žr. 3 lentelę.</w:t>
      </w:r>
    </w:p>
    <w:p w:rsidR="00A004BD" w:rsidRDefault="00A004BD">
      <w:pPr>
        <w:rPr>
          <w:rFonts w:cs="Times New Roman"/>
          <w:szCs w:val="24"/>
        </w:rPr>
      </w:pPr>
    </w:p>
    <w:p w:rsidR="00A004BD" w:rsidRDefault="00A004BD">
      <w:pPr>
        <w:ind w:firstLine="142"/>
        <w:rPr>
          <w:rFonts w:cs="Times New Roman"/>
          <w:szCs w:val="24"/>
        </w:rPr>
      </w:pPr>
      <w:r>
        <w:rPr>
          <w:szCs w:val="24"/>
          <w:lang w:val="en-GB"/>
        </w:rPr>
        <w:t xml:space="preserve">3 </w:t>
      </w:r>
      <w:r>
        <w:rPr>
          <w:szCs w:val="24"/>
        </w:rPr>
        <w:t>lentelė. Metinių ir tarpinių finansinių ataskaitų rinkinio sudėtis</w:t>
      </w:r>
    </w:p>
    <w:p w:rsidR="00A004BD" w:rsidRDefault="00A004BD">
      <w:pPr>
        <w:widowControl w:val="0"/>
        <w:shd w:val="clear" w:color="auto" w:fill="FFFFFF"/>
        <w:tabs>
          <w:tab w:val="left" w:pos="1980"/>
        </w:tabs>
        <w:autoSpaceDE w:val="0"/>
        <w:spacing w:line="360" w:lineRule="auto"/>
        <w:ind w:left="540" w:right="96"/>
        <w:jc w:val="both"/>
        <w:rPr>
          <w:rFonts w:cs="Times New Roman"/>
          <w:szCs w:val="24"/>
        </w:rPr>
      </w:pPr>
    </w:p>
    <w:p w:rsidR="00A004BD" w:rsidRDefault="00A004BD">
      <w:pPr>
        <w:widowControl w:val="0"/>
        <w:shd w:val="clear" w:color="auto" w:fill="FFFFFF"/>
        <w:tabs>
          <w:tab w:val="left" w:pos="1980"/>
        </w:tabs>
        <w:autoSpaceDE w:val="0"/>
        <w:spacing w:line="360" w:lineRule="auto"/>
        <w:ind w:left="540" w:right="96"/>
        <w:jc w:val="both"/>
        <w:rPr>
          <w:rFonts w:cs="Times New Roman"/>
          <w:szCs w:val="24"/>
        </w:rPr>
      </w:pPr>
      <w:r>
        <w:pict>
          <v:shapetype id="_x0000_t202" coordsize="21600,21600" o:spt="202" path="m,l,21600r21600,l21600,xe">
            <v:stroke joinstyle="miter"/>
            <v:path gradientshapeok="t" o:connecttype="rect"/>
          </v:shapetype>
          <v:shape id="_x0000_s1026" type="#_x0000_t202" style="position:absolute;left:0;text-align:left;margin-left:6.6pt;margin-top:11.65pt;width:482.8pt;height:136.15pt;z-index:251657728;mso-position-horizontal-relative:margin" stroked="f">
            <v:fill opacity="0" color2="black"/>
            <v:textbox inset="0,0,0,0">
              <w:txbxContent>
                <w:tbl>
                  <w:tblPr>
                    <w:tblW w:w="0" w:type="auto"/>
                    <w:tblInd w:w="10" w:type="dxa"/>
                    <w:tblLayout w:type="fixed"/>
                    <w:tblCellMar>
                      <w:left w:w="0" w:type="dxa"/>
                      <w:right w:w="0" w:type="dxa"/>
                    </w:tblCellMar>
                    <w:tblLook w:val="0000"/>
                  </w:tblPr>
                  <w:tblGrid>
                    <w:gridCol w:w="3544"/>
                    <w:gridCol w:w="3118"/>
                    <w:gridCol w:w="3037"/>
                  </w:tblGrid>
                  <w:tr w:rsidR="00A004BD">
                    <w:tc>
                      <w:tcPr>
                        <w:tcW w:w="3544" w:type="dxa"/>
                        <w:tcBorders>
                          <w:top w:val="single" w:sz="8" w:space="0" w:color="000000"/>
                          <w:left w:val="single" w:sz="8" w:space="0" w:color="000000"/>
                          <w:bottom w:val="single" w:sz="8" w:space="0" w:color="000000"/>
                        </w:tcBorders>
                        <w:shd w:val="clear" w:color="auto" w:fill="D9D9D9"/>
                        <w:vAlign w:val="center"/>
                      </w:tcPr>
                      <w:p w:rsidR="00A004BD" w:rsidRDefault="00A004BD">
                        <w:pPr>
                          <w:jc w:val="center"/>
                          <w:rPr>
                            <w:b/>
                            <w:bCs/>
                            <w:sz w:val="22"/>
                            <w:szCs w:val="22"/>
                          </w:rPr>
                        </w:pPr>
                        <w:r>
                          <w:rPr>
                            <w:b/>
                            <w:bCs/>
                            <w:sz w:val="22"/>
                            <w:szCs w:val="22"/>
                          </w:rPr>
                          <w:t>Finansinė ataskaita</w:t>
                        </w:r>
                      </w:p>
                    </w:tc>
                    <w:tc>
                      <w:tcPr>
                        <w:tcW w:w="3118" w:type="dxa"/>
                        <w:tcBorders>
                          <w:top w:val="single" w:sz="8" w:space="0" w:color="000000"/>
                          <w:left w:val="single" w:sz="8" w:space="0" w:color="000000"/>
                          <w:bottom w:val="single" w:sz="8" w:space="0" w:color="000000"/>
                        </w:tcBorders>
                        <w:shd w:val="clear" w:color="auto" w:fill="D9D9D9"/>
                        <w:vAlign w:val="center"/>
                      </w:tcPr>
                      <w:p w:rsidR="00A004BD" w:rsidRDefault="00A004BD">
                        <w:pPr>
                          <w:jc w:val="center"/>
                          <w:rPr>
                            <w:b/>
                            <w:bCs/>
                            <w:sz w:val="22"/>
                            <w:szCs w:val="22"/>
                          </w:rPr>
                        </w:pPr>
                        <w:r>
                          <w:rPr>
                            <w:b/>
                            <w:bCs/>
                            <w:sz w:val="22"/>
                            <w:szCs w:val="22"/>
                          </w:rPr>
                          <w:t>Metinių finansinių ataskaitų rinkinio sudėtis</w:t>
                        </w:r>
                      </w:p>
                    </w:tc>
                    <w:tc>
                      <w:tcPr>
                        <w:tcW w:w="303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004BD" w:rsidRDefault="00A004BD">
                        <w:pPr>
                          <w:jc w:val="center"/>
                        </w:pPr>
                        <w:r>
                          <w:rPr>
                            <w:b/>
                            <w:bCs/>
                            <w:sz w:val="22"/>
                            <w:szCs w:val="22"/>
                          </w:rPr>
                          <w:t>Tarpinių finansinių ataskaitų rinkinio sudėtis</w:t>
                        </w:r>
                      </w:p>
                    </w:tc>
                  </w:tr>
                  <w:tr w:rsidR="00A004BD">
                    <w:tc>
                      <w:tcPr>
                        <w:tcW w:w="3544" w:type="dxa"/>
                        <w:tcBorders>
                          <w:left w:val="single" w:sz="8" w:space="0" w:color="000000"/>
                          <w:bottom w:val="single" w:sz="8" w:space="0" w:color="000000"/>
                        </w:tcBorders>
                        <w:shd w:val="clear" w:color="auto" w:fill="auto"/>
                      </w:tcPr>
                      <w:p w:rsidR="00A004BD" w:rsidRDefault="00A004BD">
                        <w:pPr>
                          <w:rPr>
                            <w:sz w:val="22"/>
                            <w:szCs w:val="22"/>
                          </w:rPr>
                        </w:pPr>
                        <w:r>
                          <w:rPr>
                            <w:sz w:val="22"/>
                            <w:szCs w:val="22"/>
                          </w:rPr>
                          <w:t>Finansinės būklės ataskaita</w:t>
                        </w:r>
                      </w:p>
                    </w:tc>
                    <w:tc>
                      <w:tcPr>
                        <w:tcW w:w="3118" w:type="dxa"/>
                        <w:tcBorders>
                          <w:left w:val="single" w:sz="8" w:space="0" w:color="000000"/>
                          <w:bottom w:val="single" w:sz="8" w:space="0" w:color="000000"/>
                        </w:tcBorders>
                        <w:shd w:val="clear" w:color="auto" w:fill="auto"/>
                        <w:vAlign w:val="center"/>
                      </w:tcPr>
                      <w:p w:rsidR="00A004BD" w:rsidRDefault="00A004BD">
                        <w:pPr>
                          <w:jc w:val="center"/>
                          <w:rPr>
                            <w:sz w:val="22"/>
                            <w:szCs w:val="22"/>
                          </w:rPr>
                        </w:pPr>
                        <w:r>
                          <w:rPr>
                            <w:sz w:val="22"/>
                            <w:szCs w:val="22"/>
                          </w:rPr>
                          <w:t>X</w:t>
                        </w:r>
                      </w:p>
                    </w:tc>
                    <w:tc>
                      <w:tcPr>
                        <w:tcW w:w="3037" w:type="dxa"/>
                        <w:tcBorders>
                          <w:left w:val="single" w:sz="8" w:space="0" w:color="000000"/>
                          <w:bottom w:val="single" w:sz="8" w:space="0" w:color="000000"/>
                          <w:right w:val="single" w:sz="8" w:space="0" w:color="000000"/>
                        </w:tcBorders>
                        <w:shd w:val="clear" w:color="auto" w:fill="auto"/>
                        <w:vAlign w:val="center"/>
                      </w:tcPr>
                      <w:p w:rsidR="00A004BD" w:rsidRDefault="00A004BD">
                        <w:pPr>
                          <w:jc w:val="center"/>
                        </w:pPr>
                        <w:r>
                          <w:rPr>
                            <w:sz w:val="22"/>
                            <w:szCs w:val="22"/>
                          </w:rPr>
                          <w:t>X</w:t>
                        </w:r>
                      </w:p>
                    </w:tc>
                  </w:tr>
                  <w:tr w:rsidR="00A004BD">
                    <w:tc>
                      <w:tcPr>
                        <w:tcW w:w="3544" w:type="dxa"/>
                        <w:tcBorders>
                          <w:left w:val="single" w:sz="8" w:space="0" w:color="000000"/>
                          <w:bottom w:val="single" w:sz="8" w:space="0" w:color="000000"/>
                        </w:tcBorders>
                        <w:shd w:val="clear" w:color="auto" w:fill="auto"/>
                      </w:tcPr>
                      <w:p w:rsidR="00A004BD" w:rsidRDefault="00A004BD">
                        <w:pPr>
                          <w:rPr>
                            <w:sz w:val="22"/>
                            <w:szCs w:val="22"/>
                          </w:rPr>
                        </w:pPr>
                        <w:r>
                          <w:rPr>
                            <w:sz w:val="22"/>
                            <w:szCs w:val="22"/>
                          </w:rPr>
                          <w:t>Veiklos rezultatų ataskaita</w:t>
                        </w:r>
                      </w:p>
                    </w:tc>
                    <w:tc>
                      <w:tcPr>
                        <w:tcW w:w="3118" w:type="dxa"/>
                        <w:tcBorders>
                          <w:left w:val="single" w:sz="8" w:space="0" w:color="000000"/>
                          <w:bottom w:val="single" w:sz="8" w:space="0" w:color="000000"/>
                        </w:tcBorders>
                        <w:shd w:val="clear" w:color="auto" w:fill="auto"/>
                        <w:vAlign w:val="center"/>
                      </w:tcPr>
                      <w:p w:rsidR="00A004BD" w:rsidRDefault="00A004BD">
                        <w:pPr>
                          <w:jc w:val="center"/>
                          <w:rPr>
                            <w:sz w:val="22"/>
                            <w:szCs w:val="22"/>
                          </w:rPr>
                        </w:pPr>
                        <w:r>
                          <w:rPr>
                            <w:sz w:val="22"/>
                            <w:szCs w:val="22"/>
                          </w:rPr>
                          <w:t>X</w:t>
                        </w:r>
                      </w:p>
                    </w:tc>
                    <w:tc>
                      <w:tcPr>
                        <w:tcW w:w="3037" w:type="dxa"/>
                        <w:tcBorders>
                          <w:left w:val="single" w:sz="8" w:space="0" w:color="000000"/>
                          <w:bottom w:val="single" w:sz="8" w:space="0" w:color="000000"/>
                          <w:right w:val="single" w:sz="8" w:space="0" w:color="000000"/>
                        </w:tcBorders>
                        <w:shd w:val="clear" w:color="auto" w:fill="auto"/>
                        <w:vAlign w:val="center"/>
                      </w:tcPr>
                      <w:p w:rsidR="00A004BD" w:rsidRDefault="00A004BD">
                        <w:pPr>
                          <w:jc w:val="center"/>
                        </w:pPr>
                        <w:r>
                          <w:rPr>
                            <w:sz w:val="22"/>
                            <w:szCs w:val="22"/>
                          </w:rPr>
                          <w:t>X</w:t>
                        </w:r>
                      </w:p>
                    </w:tc>
                  </w:tr>
                  <w:tr w:rsidR="00A004BD">
                    <w:tc>
                      <w:tcPr>
                        <w:tcW w:w="3544" w:type="dxa"/>
                        <w:tcBorders>
                          <w:left w:val="single" w:sz="8" w:space="0" w:color="000000"/>
                          <w:bottom w:val="single" w:sz="8" w:space="0" w:color="000000"/>
                        </w:tcBorders>
                        <w:shd w:val="clear" w:color="auto" w:fill="auto"/>
                      </w:tcPr>
                      <w:p w:rsidR="00A004BD" w:rsidRDefault="00A004BD">
                        <w:pPr>
                          <w:rPr>
                            <w:sz w:val="22"/>
                            <w:szCs w:val="22"/>
                          </w:rPr>
                        </w:pPr>
                        <w:r>
                          <w:rPr>
                            <w:sz w:val="22"/>
                            <w:szCs w:val="22"/>
                          </w:rPr>
                          <w:t>Pinigų srautų ataskaita</w:t>
                        </w:r>
                      </w:p>
                    </w:tc>
                    <w:tc>
                      <w:tcPr>
                        <w:tcW w:w="3118" w:type="dxa"/>
                        <w:tcBorders>
                          <w:left w:val="single" w:sz="8" w:space="0" w:color="000000"/>
                          <w:bottom w:val="single" w:sz="8" w:space="0" w:color="000000"/>
                        </w:tcBorders>
                        <w:shd w:val="clear" w:color="auto" w:fill="auto"/>
                        <w:vAlign w:val="center"/>
                      </w:tcPr>
                      <w:p w:rsidR="00A004BD" w:rsidRDefault="00A004BD">
                        <w:pPr>
                          <w:jc w:val="center"/>
                          <w:rPr>
                            <w:szCs w:val="22"/>
                          </w:rPr>
                        </w:pPr>
                        <w:r>
                          <w:rPr>
                            <w:sz w:val="22"/>
                            <w:szCs w:val="22"/>
                          </w:rPr>
                          <w:t>X</w:t>
                        </w:r>
                      </w:p>
                    </w:tc>
                    <w:tc>
                      <w:tcPr>
                        <w:tcW w:w="3037" w:type="dxa"/>
                        <w:tcBorders>
                          <w:left w:val="single" w:sz="8" w:space="0" w:color="000000"/>
                          <w:bottom w:val="single" w:sz="8" w:space="0" w:color="000000"/>
                          <w:right w:val="single" w:sz="8" w:space="0" w:color="000000"/>
                        </w:tcBorders>
                        <w:shd w:val="clear" w:color="auto" w:fill="auto"/>
                        <w:vAlign w:val="center"/>
                      </w:tcPr>
                      <w:p w:rsidR="00A004BD" w:rsidRDefault="00A004BD">
                        <w:pPr>
                          <w:snapToGrid w:val="0"/>
                          <w:jc w:val="center"/>
                          <w:rPr>
                            <w:szCs w:val="22"/>
                          </w:rPr>
                        </w:pPr>
                      </w:p>
                    </w:tc>
                  </w:tr>
                  <w:tr w:rsidR="00A004BD">
                    <w:tc>
                      <w:tcPr>
                        <w:tcW w:w="3544" w:type="dxa"/>
                        <w:tcBorders>
                          <w:left w:val="single" w:sz="8" w:space="0" w:color="000000"/>
                          <w:bottom w:val="single" w:sz="8" w:space="0" w:color="000000"/>
                        </w:tcBorders>
                        <w:shd w:val="clear" w:color="auto" w:fill="auto"/>
                      </w:tcPr>
                      <w:p w:rsidR="00A004BD" w:rsidRDefault="00A004BD">
                        <w:pPr>
                          <w:rPr>
                            <w:sz w:val="22"/>
                            <w:szCs w:val="22"/>
                          </w:rPr>
                        </w:pPr>
                        <w:r>
                          <w:rPr>
                            <w:sz w:val="22"/>
                            <w:szCs w:val="22"/>
                          </w:rPr>
                          <w:t>Grynojo turto pokyčių ataskaita</w:t>
                        </w:r>
                      </w:p>
                    </w:tc>
                    <w:tc>
                      <w:tcPr>
                        <w:tcW w:w="3118" w:type="dxa"/>
                        <w:tcBorders>
                          <w:left w:val="single" w:sz="8" w:space="0" w:color="000000"/>
                          <w:bottom w:val="single" w:sz="8" w:space="0" w:color="000000"/>
                        </w:tcBorders>
                        <w:shd w:val="clear" w:color="auto" w:fill="auto"/>
                        <w:vAlign w:val="center"/>
                      </w:tcPr>
                      <w:p w:rsidR="00A004BD" w:rsidRDefault="00A004BD">
                        <w:pPr>
                          <w:jc w:val="center"/>
                          <w:rPr>
                            <w:szCs w:val="22"/>
                          </w:rPr>
                        </w:pPr>
                        <w:r>
                          <w:rPr>
                            <w:sz w:val="22"/>
                            <w:szCs w:val="22"/>
                          </w:rPr>
                          <w:t>X</w:t>
                        </w:r>
                      </w:p>
                    </w:tc>
                    <w:tc>
                      <w:tcPr>
                        <w:tcW w:w="3037" w:type="dxa"/>
                        <w:tcBorders>
                          <w:left w:val="single" w:sz="8" w:space="0" w:color="000000"/>
                          <w:bottom w:val="single" w:sz="8" w:space="0" w:color="000000"/>
                          <w:right w:val="single" w:sz="8" w:space="0" w:color="000000"/>
                        </w:tcBorders>
                        <w:shd w:val="clear" w:color="auto" w:fill="auto"/>
                        <w:vAlign w:val="center"/>
                      </w:tcPr>
                      <w:p w:rsidR="00A004BD" w:rsidRDefault="00A004BD">
                        <w:pPr>
                          <w:snapToGrid w:val="0"/>
                          <w:jc w:val="center"/>
                          <w:rPr>
                            <w:szCs w:val="22"/>
                          </w:rPr>
                        </w:pPr>
                      </w:p>
                    </w:tc>
                  </w:tr>
                  <w:tr w:rsidR="00A004BD">
                    <w:tc>
                      <w:tcPr>
                        <w:tcW w:w="3544" w:type="dxa"/>
                        <w:tcBorders>
                          <w:left w:val="single" w:sz="8" w:space="0" w:color="000000"/>
                          <w:bottom w:val="single" w:sz="8" w:space="0" w:color="000000"/>
                        </w:tcBorders>
                        <w:shd w:val="clear" w:color="auto" w:fill="auto"/>
                      </w:tcPr>
                      <w:p w:rsidR="00A004BD" w:rsidRDefault="00A004BD">
                        <w:pPr>
                          <w:rPr>
                            <w:sz w:val="22"/>
                            <w:szCs w:val="22"/>
                          </w:rPr>
                        </w:pPr>
                        <w:r>
                          <w:rPr>
                            <w:sz w:val="22"/>
                            <w:szCs w:val="22"/>
                          </w:rPr>
                          <w:t>Finansinių ataskaitų aiškinamasis raštas</w:t>
                        </w:r>
                      </w:p>
                    </w:tc>
                    <w:tc>
                      <w:tcPr>
                        <w:tcW w:w="3118" w:type="dxa"/>
                        <w:tcBorders>
                          <w:left w:val="single" w:sz="8" w:space="0" w:color="000000"/>
                          <w:bottom w:val="single" w:sz="8" w:space="0" w:color="000000"/>
                        </w:tcBorders>
                        <w:shd w:val="clear" w:color="auto" w:fill="auto"/>
                        <w:vAlign w:val="center"/>
                      </w:tcPr>
                      <w:p w:rsidR="00A004BD" w:rsidRDefault="00A004BD">
                        <w:pPr>
                          <w:jc w:val="center"/>
                          <w:rPr>
                            <w:szCs w:val="22"/>
                          </w:rPr>
                        </w:pPr>
                        <w:r>
                          <w:rPr>
                            <w:sz w:val="22"/>
                            <w:szCs w:val="22"/>
                          </w:rPr>
                          <w:t>X</w:t>
                        </w:r>
                      </w:p>
                    </w:tc>
                    <w:tc>
                      <w:tcPr>
                        <w:tcW w:w="3037" w:type="dxa"/>
                        <w:tcBorders>
                          <w:left w:val="single" w:sz="8" w:space="0" w:color="000000"/>
                          <w:bottom w:val="single" w:sz="8" w:space="0" w:color="000000"/>
                          <w:right w:val="single" w:sz="8" w:space="0" w:color="000000"/>
                        </w:tcBorders>
                        <w:shd w:val="clear" w:color="auto" w:fill="auto"/>
                        <w:vAlign w:val="center"/>
                      </w:tcPr>
                      <w:p w:rsidR="00A004BD" w:rsidRDefault="00A004BD">
                        <w:pPr>
                          <w:snapToGrid w:val="0"/>
                          <w:jc w:val="center"/>
                          <w:rPr>
                            <w:szCs w:val="22"/>
                          </w:rPr>
                        </w:pPr>
                      </w:p>
                    </w:tc>
                  </w:tr>
                  <w:tr w:rsidR="00A004BD">
                    <w:tc>
                      <w:tcPr>
                        <w:tcW w:w="3544" w:type="dxa"/>
                        <w:tcBorders>
                          <w:left w:val="single" w:sz="8" w:space="0" w:color="000000"/>
                          <w:bottom w:val="single" w:sz="4" w:space="0" w:color="000000"/>
                        </w:tcBorders>
                        <w:shd w:val="clear" w:color="auto" w:fill="auto"/>
                      </w:tcPr>
                      <w:p w:rsidR="00A004BD" w:rsidRDefault="00A004BD">
                        <w:pPr>
                          <w:rPr>
                            <w:szCs w:val="22"/>
                          </w:rPr>
                        </w:pPr>
                        <w:r>
                          <w:rPr>
                            <w:sz w:val="22"/>
                            <w:szCs w:val="22"/>
                          </w:rPr>
                          <w:t>Sutrumpintas finansinių ataskaitų aiškinamasis raštas</w:t>
                        </w:r>
                      </w:p>
                    </w:tc>
                    <w:tc>
                      <w:tcPr>
                        <w:tcW w:w="3118" w:type="dxa"/>
                        <w:tcBorders>
                          <w:left w:val="single" w:sz="8" w:space="0" w:color="000000"/>
                          <w:bottom w:val="single" w:sz="4" w:space="0" w:color="000000"/>
                        </w:tcBorders>
                        <w:shd w:val="clear" w:color="auto" w:fill="auto"/>
                        <w:vAlign w:val="center"/>
                      </w:tcPr>
                      <w:p w:rsidR="00A004BD" w:rsidRDefault="00A004BD">
                        <w:pPr>
                          <w:snapToGrid w:val="0"/>
                          <w:jc w:val="center"/>
                          <w:rPr>
                            <w:szCs w:val="22"/>
                          </w:rPr>
                        </w:pPr>
                      </w:p>
                    </w:tc>
                    <w:tc>
                      <w:tcPr>
                        <w:tcW w:w="3037" w:type="dxa"/>
                        <w:tcBorders>
                          <w:left w:val="single" w:sz="8" w:space="0" w:color="000000"/>
                          <w:bottom w:val="single" w:sz="4" w:space="0" w:color="000000"/>
                          <w:right w:val="single" w:sz="8" w:space="0" w:color="000000"/>
                        </w:tcBorders>
                        <w:shd w:val="clear" w:color="auto" w:fill="auto"/>
                        <w:vAlign w:val="center"/>
                      </w:tcPr>
                      <w:p w:rsidR="00A004BD" w:rsidRDefault="00A004BD">
                        <w:pPr>
                          <w:jc w:val="center"/>
                        </w:pPr>
                        <w:r>
                          <w:rPr>
                            <w:sz w:val="22"/>
                            <w:szCs w:val="22"/>
                          </w:rPr>
                          <w:t>X</w:t>
                        </w:r>
                      </w:p>
                    </w:tc>
                  </w:tr>
                </w:tbl>
                <w:p w:rsidR="00A004BD" w:rsidRDefault="00A004BD">
                  <w:r>
                    <w:t xml:space="preserve"> </w:t>
                  </w:r>
                </w:p>
              </w:txbxContent>
            </v:textbox>
            <w10:wrap type="square"/>
          </v:shape>
        </w:pict>
      </w:r>
    </w:p>
    <w:p w:rsidR="00A004BD" w:rsidRDefault="00A004BD">
      <w:pPr>
        <w:widowControl w:val="0"/>
        <w:numPr>
          <w:ilvl w:val="0"/>
          <w:numId w:val="2"/>
        </w:numPr>
        <w:shd w:val="clear" w:color="auto" w:fill="FFFFFF"/>
        <w:tabs>
          <w:tab w:val="left" w:pos="1980"/>
        </w:tabs>
        <w:autoSpaceDE w:val="0"/>
        <w:spacing w:line="360" w:lineRule="auto"/>
        <w:jc w:val="both"/>
        <w:rPr>
          <w:rFonts w:cs="Times New Roman"/>
          <w:szCs w:val="24"/>
        </w:rPr>
      </w:pPr>
      <w:r>
        <w:rPr>
          <w:rFonts w:cs="Times New Roman"/>
          <w:szCs w:val="24"/>
        </w:rPr>
        <w:t>L/d „Žilvitis“</w:t>
      </w:r>
      <w:r>
        <w:rPr>
          <w:szCs w:val="24"/>
        </w:rPr>
        <w:t xml:space="preserve"> rengtinas metinių finansinių ataskaitų rinkinys, įskaitant aiškinamojo rašto pastabų lenteles, pateikiamas šio Apskaitos vadovo </w:t>
      </w:r>
      <w:r>
        <w:rPr>
          <w:color w:val="FF0000"/>
          <w:szCs w:val="24"/>
        </w:rPr>
        <w:t>23 priede.</w:t>
      </w:r>
    </w:p>
    <w:p w:rsidR="00A004BD" w:rsidRDefault="00A004BD">
      <w:pPr>
        <w:widowControl w:val="0"/>
        <w:numPr>
          <w:ilvl w:val="0"/>
          <w:numId w:val="2"/>
        </w:numPr>
        <w:shd w:val="clear" w:color="auto" w:fill="FFFFFF"/>
        <w:tabs>
          <w:tab w:val="left" w:pos="1980"/>
        </w:tabs>
        <w:autoSpaceDE w:val="0"/>
        <w:spacing w:line="360" w:lineRule="auto"/>
        <w:ind w:left="540" w:right="96" w:hanging="540"/>
        <w:jc w:val="both"/>
        <w:rPr>
          <w:rFonts w:cs="Times New Roman"/>
          <w:szCs w:val="24"/>
        </w:rPr>
      </w:pPr>
      <w:r>
        <w:rPr>
          <w:rFonts w:cs="Times New Roman"/>
          <w:szCs w:val="24"/>
        </w:rPr>
        <w:t>Metinių finansinių ataskaitų, įskaitant aiškinamojo rašto pastabų lenteles, formos gali būti pakeistos tik pakeitus VSAFAS nustatytas ataskaitų formas ir reikalavimus.</w:t>
      </w:r>
    </w:p>
    <w:p w:rsidR="00A004BD" w:rsidRDefault="00A004BD">
      <w:pPr>
        <w:widowControl w:val="0"/>
        <w:numPr>
          <w:ilvl w:val="0"/>
          <w:numId w:val="2"/>
        </w:numPr>
        <w:shd w:val="clear" w:color="auto" w:fill="FFFFFF"/>
        <w:tabs>
          <w:tab w:val="left" w:pos="1980"/>
        </w:tabs>
        <w:autoSpaceDE w:val="0"/>
        <w:spacing w:line="360" w:lineRule="auto"/>
        <w:jc w:val="both"/>
        <w:rPr>
          <w:rFonts w:cs="Times New Roman"/>
          <w:szCs w:val="24"/>
        </w:rPr>
      </w:pPr>
      <w:r>
        <w:rPr>
          <w:rFonts w:cs="Times New Roman"/>
          <w:szCs w:val="24"/>
        </w:rPr>
        <w:t>L/d „Žilvitis“</w:t>
      </w:r>
      <w:r>
        <w:rPr>
          <w:szCs w:val="24"/>
        </w:rPr>
        <w:t xml:space="preserve"> </w:t>
      </w:r>
      <w:r>
        <w:rPr>
          <w:rFonts w:cs="Times New Roman"/>
          <w:szCs w:val="24"/>
        </w:rPr>
        <w:t xml:space="preserve"> metinių finansinių ataskaitų rinkinys sudaromas ir teikiamas nustatyta tvarka.</w:t>
      </w:r>
    </w:p>
    <w:p w:rsidR="00A004BD" w:rsidRDefault="00A004BD">
      <w:pPr>
        <w:tabs>
          <w:tab w:val="left" w:pos="1980"/>
        </w:tabs>
        <w:spacing w:line="360" w:lineRule="auto"/>
        <w:ind w:right="96"/>
        <w:jc w:val="both"/>
        <w:rPr>
          <w:rFonts w:cs="Times New Roman"/>
          <w:szCs w:val="24"/>
        </w:rPr>
      </w:pPr>
    </w:p>
    <w:p w:rsidR="00A004BD" w:rsidRDefault="00A004BD">
      <w:pPr>
        <w:pStyle w:val="Antrat2"/>
        <w:numPr>
          <w:ilvl w:val="0"/>
          <w:numId w:val="0"/>
        </w:numPr>
        <w:spacing w:before="0" w:after="0" w:line="360" w:lineRule="auto"/>
        <w:jc w:val="center"/>
        <w:rPr>
          <w:rFonts w:cs="Times New Roman"/>
          <w:szCs w:val="24"/>
        </w:rPr>
      </w:pPr>
      <w:bookmarkStart w:id="53" w:name="__RefHeading___Toc286760003"/>
      <w:bookmarkEnd w:id="53"/>
      <w:r>
        <w:rPr>
          <w:rFonts w:ascii="Times New Roman" w:hAnsi="Times New Roman" w:cs="Times New Roman"/>
          <w:i w:val="0"/>
          <w:color w:val="000000"/>
          <w:spacing w:val="-1"/>
          <w:w w:val="103"/>
          <w:sz w:val="24"/>
        </w:rPr>
        <w:t>Tarpinių finansinių ataskaitų rinkinys</w:t>
      </w:r>
    </w:p>
    <w:p w:rsidR="00A004BD" w:rsidRDefault="00A004BD">
      <w:pPr>
        <w:tabs>
          <w:tab w:val="left" w:pos="1980"/>
        </w:tabs>
        <w:spacing w:line="360" w:lineRule="auto"/>
        <w:ind w:right="96"/>
        <w:jc w:val="both"/>
        <w:rPr>
          <w:rFonts w:cs="Times New Roman"/>
          <w:szCs w:val="24"/>
        </w:rPr>
      </w:pPr>
    </w:p>
    <w:p w:rsidR="00A004BD" w:rsidRDefault="00A004BD">
      <w:pPr>
        <w:widowControl w:val="0"/>
        <w:numPr>
          <w:ilvl w:val="0"/>
          <w:numId w:val="2"/>
        </w:numPr>
        <w:shd w:val="clear" w:color="auto" w:fill="FFFFFF"/>
        <w:tabs>
          <w:tab w:val="left" w:pos="1980"/>
        </w:tabs>
        <w:autoSpaceDE w:val="0"/>
        <w:spacing w:line="360" w:lineRule="auto"/>
        <w:ind w:left="540" w:right="96" w:hanging="540"/>
        <w:jc w:val="both"/>
        <w:rPr>
          <w:rFonts w:cs="Times New Roman"/>
          <w:szCs w:val="24"/>
        </w:rPr>
      </w:pPr>
      <w:r>
        <w:rPr>
          <w:rFonts w:cs="Times New Roman"/>
          <w:szCs w:val="24"/>
        </w:rPr>
        <w:t>Tarpinių finansinių ataskaitų rinkinys – tai finansinių ataskaitų rinkinys, parengtas apibendrinus laikotarpio, trumpesnio negu ataskaitinis laikotarpis (kalendoriniai metai), duomenis. Tarpinių finansinių ataskaitų rinkinys sudaromas kas ketvirtį.</w:t>
      </w:r>
    </w:p>
    <w:p w:rsidR="00A004BD" w:rsidRDefault="00A004BD">
      <w:pPr>
        <w:widowControl w:val="0"/>
        <w:numPr>
          <w:ilvl w:val="0"/>
          <w:numId w:val="2"/>
        </w:numPr>
        <w:shd w:val="clear" w:color="auto" w:fill="FFFFFF"/>
        <w:tabs>
          <w:tab w:val="left" w:pos="1980"/>
        </w:tabs>
        <w:autoSpaceDE w:val="0"/>
        <w:spacing w:line="360" w:lineRule="auto"/>
        <w:ind w:left="540" w:right="96" w:hanging="540"/>
        <w:jc w:val="both"/>
        <w:rPr>
          <w:rFonts w:cs="Times New Roman"/>
          <w:szCs w:val="24"/>
        </w:rPr>
      </w:pPr>
      <w:r>
        <w:rPr>
          <w:rFonts w:cs="Times New Roman"/>
          <w:szCs w:val="24"/>
        </w:rPr>
        <w:t>Tarpinių finansinių ataskaitų rinkinį sudaro:</w:t>
      </w:r>
    </w:p>
    <w:p w:rsidR="00A004BD" w:rsidRDefault="00A004BD">
      <w:pPr>
        <w:widowControl w:val="0"/>
        <w:numPr>
          <w:ilvl w:val="1"/>
          <w:numId w:val="2"/>
        </w:numPr>
        <w:shd w:val="clear" w:color="auto" w:fill="FFFFFF"/>
        <w:tabs>
          <w:tab w:val="left" w:pos="540"/>
        </w:tabs>
        <w:autoSpaceDE w:val="0"/>
        <w:spacing w:line="360" w:lineRule="auto"/>
        <w:ind w:right="96"/>
        <w:rPr>
          <w:rFonts w:cs="Times New Roman"/>
          <w:szCs w:val="24"/>
        </w:rPr>
      </w:pPr>
      <w:r>
        <w:rPr>
          <w:rFonts w:cs="Times New Roman"/>
          <w:szCs w:val="24"/>
        </w:rPr>
        <w:t>finansinės būklės ataskaita;</w:t>
      </w:r>
    </w:p>
    <w:p w:rsidR="00A004BD" w:rsidRDefault="00A004BD">
      <w:pPr>
        <w:widowControl w:val="0"/>
        <w:numPr>
          <w:ilvl w:val="1"/>
          <w:numId w:val="2"/>
        </w:numPr>
        <w:shd w:val="clear" w:color="auto" w:fill="FFFFFF"/>
        <w:tabs>
          <w:tab w:val="left" w:pos="540"/>
        </w:tabs>
        <w:autoSpaceDE w:val="0"/>
        <w:spacing w:line="360" w:lineRule="auto"/>
        <w:ind w:right="96"/>
        <w:rPr>
          <w:rFonts w:cs="Times New Roman"/>
          <w:szCs w:val="24"/>
        </w:rPr>
      </w:pPr>
      <w:r>
        <w:rPr>
          <w:rFonts w:cs="Times New Roman"/>
          <w:szCs w:val="24"/>
        </w:rPr>
        <w:t>veiklos rezultatų ataskaitos;</w:t>
      </w:r>
    </w:p>
    <w:p w:rsidR="00A004BD" w:rsidRDefault="00A004BD">
      <w:pPr>
        <w:widowControl w:val="0"/>
        <w:numPr>
          <w:ilvl w:val="1"/>
          <w:numId w:val="2"/>
        </w:numPr>
        <w:shd w:val="clear" w:color="auto" w:fill="FFFFFF"/>
        <w:tabs>
          <w:tab w:val="left" w:pos="540"/>
        </w:tabs>
        <w:autoSpaceDE w:val="0"/>
        <w:spacing w:line="360" w:lineRule="auto"/>
        <w:ind w:right="96"/>
        <w:rPr>
          <w:rFonts w:cs="Times New Roman"/>
          <w:szCs w:val="24"/>
        </w:rPr>
      </w:pPr>
      <w:r>
        <w:rPr>
          <w:rFonts w:cs="Times New Roman"/>
          <w:szCs w:val="24"/>
        </w:rPr>
        <w:t>sutrumpintas aiškinamasis raštas.</w:t>
      </w:r>
    </w:p>
    <w:p w:rsidR="00A004BD" w:rsidRDefault="00A004BD">
      <w:pPr>
        <w:widowControl w:val="0"/>
        <w:numPr>
          <w:ilvl w:val="0"/>
          <w:numId w:val="2"/>
        </w:numPr>
        <w:shd w:val="clear" w:color="auto" w:fill="FFFFFF"/>
        <w:tabs>
          <w:tab w:val="left" w:pos="1980"/>
        </w:tabs>
        <w:autoSpaceDE w:val="0"/>
        <w:spacing w:line="360" w:lineRule="auto"/>
        <w:ind w:left="540" w:right="96" w:hanging="540"/>
        <w:jc w:val="both"/>
        <w:rPr>
          <w:rFonts w:cs="Times New Roman"/>
          <w:szCs w:val="24"/>
        </w:rPr>
      </w:pPr>
      <w:r>
        <w:rPr>
          <w:rFonts w:cs="Times New Roman"/>
          <w:szCs w:val="24"/>
        </w:rPr>
        <w:t>Tarpinių finansinių ataskaitų, išskyrus aiškinamąjį raštą, rengimui taikomi tie patys principai, reikalavimai ir formos, kaip ir metinių finansinių ataskaitų rinkiniui. Sutrumpinto aiškinamojo rašto rengimo reikalavimai pateikti 23 VSAFAS „Tarpinių finansinių ataskaitų rinkinys“.</w:t>
      </w:r>
    </w:p>
    <w:p w:rsidR="00A004BD" w:rsidRDefault="00A004BD">
      <w:pPr>
        <w:widowControl w:val="0"/>
        <w:numPr>
          <w:ilvl w:val="0"/>
          <w:numId w:val="2"/>
        </w:numPr>
        <w:shd w:val="clear" w:color="auto" w:fill="FFFFFF"/>
        <w:tabs>
          <w:tab w:val="left" w:pos="1980"/>
        </w:tabs>
        <w:autoSpaceDE w:val="0"/>
        <w:spacing w:line="360" w:lineRule="auto"/>
        <w:ind w:left="540" w:right="96" w:hanging="540"/>
        <w:jc w:val="both"/>
        <w:rPr>
          <w:rFonts w:cs="Times New Roman"/>
          <w:szCs w:val="24"/>
        </w:rPr>
      </w:pPr>
      <w:r>
        <w:rPr>
          <w:rFonts w:cs="Times New Roman"/>
          <w:szCs w:val="24"/>
        </w:rPr>
        <w:t>Tarpinių finansinių ataskaitų, įskaitant aiškinamojo rašto pastabų lenteles, formos gali būti pakeistos tik pakeitus VSAFAS nustatytas ataskaitų formas ir reikalavimus</w:t>
      </w:r>
      <w:r>
        <w:t>.</w:t>
      </w:r>
    </w:p>
    <w:p w:rsidR="00A004BD" w:rsidRDefault="00A004BD">
      <w:pPr>
        <w:widowControl w:val="0"/>
        <w:numPr>
          <w:ilvl w:val="0"/>
          <w:numId w:val="2"/>
        </w:numPr>
        <w:shd w:val="clear" w:color="auto" w:fill="FFFFFF"/>
        <w:tabs>
          <w:tab w:val="left" w:pos="1980"/>
        </w:tabs>
        <w:autoSpaceDE w:val="0"/>
        <w:spacing w:line="360" w:lineRule="auto"/>
        <w:jc w:val="both"/>
        <w:rPr>
          <w:rFonts w:cs="Times New Roman"/>
          <w:i/>
          <w:szCs w:val="24"/>
        </w:rPr>
      </w:pPr>
      <w:r>
        <w:rPr>
          <w:rFonts w:cs="Times New Roman"/>
          <w:szCs w:val="24"/>
        </w:rPr>
        <w:t>L/d „Žilvitis“</w:t>
      </w:r>
      <w:r>
        <w:rPr>
          <w:szCs w:val="24"/>
        </w:rPr>
        <w:t xml:space="preserve"> </w:t>
      </w:r>
      <w:r>
        <w:rPr>
          <w:rFonts w:cs="Times New Roman"/>
          <w:szCs w:val="24"/>
        </w:rPr>
        <w:t xml:space="preserve"> tarpinių finansinių ataskaitų rinkinį teikia Vilniaus miesto savivaldybės administracijai ne vėliau kaip per 25 kalendorines dienas pasibaigus tarpiniam ataskaitiniam laikotarpiui Vilniaus miesto savivaldybės administracijos direktoriaus ar jo įgalioto asmens nustatyta tvarka.</w:t>
      </w:r>
    </w:p>
    <w:p w:rsidR="00A004BD" w:rsidRDefault="00A004BD">
      <w:pPr>
        <w:tabs>
          <w:tab w:val="left" w:pos="1260"/>
          <w:tab w:val="left" w:pos="1980"/>
        </w:tabs>
        <w:spacing w:line="360" w:lineRule="auto"/>
        <w:ind w:right="96"/>
        <w:jc w:val="both"/>
        <w:rPr>
          <w:rFonts w:cs="Times New Roman"/>
          <w:i/>
          <w:szCs w:val="24"/>
        </w:rPr>
      </w:pPr>
    </w:p>
    <w:p w:rsidR="00A004BD" w:rsidRDefault="00A004BD">
      <w:pPr>
        <w:pStyle w:val="Antrat2"/>
        <w:numPr>
          <w:ilvl w:val="0"/>
          <w:numId w:val="0"/>
        </w:numPr>
        <w:spacing w:before="0" w:after="0" w:line="360" w:lineRule="auto"/>
        <w:jc w:val="center"/>
        <w:rPr>
          <w:rFonts w:cs="Times New Roman"/>
          <w:szCs w:val="24"/>
        </w:rPr>
      </w:pPr>
      <w:bookmarkStart w:id="54" w:name="__RefHeading___Toc286760004"/>
      <w:bookmarkEnd w:id="54"/>
      <w:r>
        <w:rPr>
          <w:rFonts w:ascii="Times New Roman" w:hAnsi="Times New Roman" w:cs="Times New Roman"/>
          <w:i w:val="0"/>
          <w:color w:val="000000"/>
          <w:spacing w:val="-1"/>
          <w:w w:val="103"/>
          <w:sz w:val="24"/>
        </w:rPr>
        <w:lastRenderedPageBreak/>
        <w:t>Konsoliduotųjų finansinių ataskaitų rinkinys</w:t>
      </w:r>
    </w:p>
    <w:p w:rsidR="00A004BD" w:rsidRDefault="00A004BD">
      <w:pPr>
        <w:widowControl w:val="0"/>
        <w:shd w:val="clear" w:color="auto" w:fill="FFFFFF"/>
        <w:tabs>
          <w:tab w:val="left" w:pos="1980"/>
        </w:tabs>
        <w:autoSpaceDE w:val="0"/>
        <w:spacing w:line="360" w:lineRule="auto"/>
        <w:ind w:left="540" w:right="96"/>
        <w:jc w:val="both"/>
        <w:rPr>
          <w:rFonts w:cs="Times New Roman"/>
          <w:szCs w:val="24"/>
        </w:rPr>
      </w:pPr>
    </w:p>
    <w:p w:rsidR="00A004BD" w:rsidRDefault="00A004BD">
      <w:pPr>
        <w:widowControl w:val="0"/>
        <w:numPr>
          <w:ilvl w:val="0"/>
          <w:numId w:val="2"/>
        </w:numPr>
        <w:shd w:val="clear" w:color="auto" w:fill="FFFFFF"/>
        <w:tabs>
          <w:tab w:val="left" w:pos="1980"/>
        </w:tabs>
        <w:autoSpaceDE w:val="0"/>
        <w:spacing w:line="360" w:lineRule="auto"/>
        <w:jc w:val="both"/>
        <w:rPr>
          <w:rFonts w:cs="Times New Roman"/>
          <w:color w:val="FF0000"/>
          <w:szCs w:val="24"/>
        </w:rPr>
      </w:pPr>
      <w:r>
        <w:rPr>
          <w:rFonts w:cs="Times New Roman"/>
          <w:szCs w:val="24"/>
        </w:rPr>
        <w:t>L/d „Žilvitis“</w:t>
      </w:r>
      <w:r>
        <w:rPr>
          <w:szCs w:val="24"/>
        </w:rPr>
        <w:t xml:space="preserve"> </w:t>
      </w:r>
      <w:r>
        <w:rPr>
          <w:rFonts w:cs="Times New Roman"/>
          <w:szCs w:val="24"/>
        </w:rPr>
        <w:t xml:space="preserve"> tarpinių finansinių ataskaitų rinkinį konsolidacijai pateikia iki kito ketvirčio pirmo mėnesio 25 d., metinių finansinių ataskaitų rinkinį pateikia iki kitų metų kovo 25 d.  Vilniaus miesto savivaldybės administracijos direktoriaus ar jo įgalioto asmens nustatyta tvarka.</w:t>
      </w:r>
    </w:p>
    <w:p w:rsidR="00A004BD" w:rsidRDefault="00A004BD">
      <w:pPr>
        <w:widowControl w:val="0"/>
        <w:shd w:val="clear" w:color="auto" w:fill="FFFFFF"/>
        <w:tabs>
          <w:tab w:val="left" w:pos="1980"/>
        </w:tabs>
        <w:autoSpaceDE w:val="0"/>
        <w:spacing w:line="360" w:lineRule="auto"/>
        <w:ind w:left="540" w:right="96"/>
        <w:jc w:val="both"/>
        <w:rPr>
          <w:rFonts w:cs="Times New Roman"/>
          <w:color w:val="FF0000"/>
          <w:szCs w:val="24"/>
        </w:rPr>
      </w:pPr>
    </w:p>
    <w:p w:rsidR="00A004BD" w:rsidRDefault="00A004BD">
      <w:pPr>
        <w:pStyle w:val="Antrat2"/>
        <w:numPr>
          <w:ilvl w:val="0"/>
          <w:numId w:val="0"/>
        </w:numPr>
        <w:spacing w:before="0" w:after="0" w:line="360" w:lineRule="auto"/>
        <w:jc w:val="center"/>
        <w:rPr>
          <w:rFonts w:ascii="Times New Roman" w:hAnsi="Times New Roman" w:cs="Times New Roman"/>
          <w:sz w:val="24"/>
          <w:szCs w:val="24"/>
        </w:rPr>
      </w:pPr>
      <w:bookmarkStart w:id="55" w:name="__RefHeading___Toc286760005"/>
      <w:bookmarkEnd w:id="55"/>
      <w:r>
        <w:rPr>
          <w:rFonts w:ascii="Times New Roman" w:hAnsi="Times New Roman" w:cs="Times New Roman"/>
          <w:i w:val="0"/>
          <w:color w:val="000000"/>
          <w:spacing w:val="-1"/>
          <w:w w:val="103"/>
          <w:sz w:val="24"/>
        </w:rPr>
        <w:t>Ataskaitų elementai ir jų vertinimas</w:t>
      </w:r>
    </w:p>
    <w:p w:rsidR="00A004BD" w:rsidRDefault="00A004BD">
      <w:pPr>
        <w:pStyle w:val="Antrat3"/>
        <w:numPr>
          <w:ilvl w:val="0"/>
          <w:numId w:val="0"/>
        </w:numPr>
        <w:tabs>
          <w:tab w:val="left" w:pos="1260"/>
          <w:tab w:val="left" w:pos="1620"/>
        </w:tabs>
        <w:spacing w:before="0" w:after="0" w:line="360" w:lineRule="auto"/>
        <w:ind w:left="720" w:right="96"/>
        <w:rPr>
          <w:rFonts w:ascii="Times New Roman" w:hAnsi="Times New Roman" w:cs="Times New Roman"/>
          <w:sz w:val="24"/>
          <w:szCs w:val="24"/>
        </w:rPr>
      </w:pPr>
    </w:p>
    <w:p w:rsidR="00A004BD" w:rsidRDefault="00A004BD">
      <w:pPr>
        <w:widowControl w:val="0"/>
        <w:numPr>
          <w:ilvl w:val="0"/>
          <w:numId w:val="2"/>
        </w:numPr>
        <w:shd w:val="clear" w:color="auto" w:fill="FFFFFF"/>
        <w:tabs>
          <w:tab w:val="left" w:pos="1980"/>
        </w:tabs>
        <w:autoSpaceDE w:val="0"/>
        <w:spacing w:line="360" w:lineRule="auto"/>
        <w:jc w:val="both"/>
        <w:rPr>
          <w:rFonts w:cs="Times New Roman"/>
          <w:szCs w:val="24"/>
        </w:rPr>
      </w:pPr>
      <w:r>
        <w:rPr>
          <w:rFonts w:cs="Times New Roman"/>
          <w:szCs w:val="24"/>
        </w:rPr>
        <w:t>L/d „Žilvitis“</w:t>
      </w:r>
      <w:r>
        <w:rPr>
          <w:szCs w:val="24"/>
        </w:rPr>
        <w:t xml:space="preserve"> </w:t>
      </w:r>
      <w:r>
        <w:rPr>
          <w:rFonts w:cs="Times New Roman"/>
          <w:szCs w:val="24"/>
        </w:rPr>
        <w:t xml:space="preserve"> ūkinės operacijos ir ūkiniai įvykiai pagal ekonominius kriterijus finansinėse ataskaitose grupuojami į grupes, kurios vadinamos finansinių ataskaitų elementais. Finansinių ataskaitų elementai, naudojami L/d „Žilvitis“</w:t>
      </w:r>
      <w:r>
        <w:rPr>
          <w:szCs w:val="24"/>
        </w:rPr>
        <w:t xml:space="preserve"> </w:t>
      </w:r>
      <w:r>
        <w:rPr>
          <w:rFonts w:cs="Times New Roman"/>
          <w:szCs w:val="24"/>
        </w:rPr>
        <w:t xml:space="preserve"> finansinei būklei ir veiklos rezultatams įvertinti, yra tokie:</w:t>
      </w:r>
    </w:p>
    <w:p w:rsidR="00A004BD" w:rsidRDefault="00A004BD">
      <w:pPr>
        <w:widowControl w:val="0"/>
        <w:numPr>
          <w:ilvl w:val="1"/>
          <w:numId w:val="2"/>
        </w:numPr>
        <w:shd w:val="clear" w:color="auto" w:fill="FFFFFF"/>
        <w:tabs>
          <w:tab w:val="left" w:pos="1980"/>
        </w:tabs>
        <w:autoSpaceDE w:val="0"/>
        <w:spacing w:line="360" w:lineRule="auto"/>
        <w:jc w:val="both"/>
        <w:rPr>
          <w:rFonts w:cs="Times New Roman"/>
          <w:szCs w:val="24"/>
        </w:rPr>
      </w:pPr>
      <w:r>
        <w:rPr>
          <w:rFonts w:cs="Times New Roman"/>
          <w:szCs w:val="24"/>
        </w:rPr>
        <w:t>finansinės būklės ataskaitoje pateikiami elementai – turtas, finansavimo sumos, įsipareigojimai ir grynasis turtas – apibūdina L/d „Žilvitis“ finansinę būklę;</w:t>
      </w:r>
    </w:p>
    <w:p w:rsidR="00A004BD" w:rsidRDefault="00A004BD">
      <w:pPr>
        <w:widowControl w:val="0"/>
        <w:numPr>
          <w:ilvl w:val="1"/>
          <w:numId w:val="2"/>
        </w:numPr>
        <w:shd w:val="clear" w:color="auto" w:fill="FFFFFF"/>
        <w:tabs>
          <w:tab w:val="left" w:pos="1980"/>
        </w:tabs>
        <w:autoSpaceDE w:val="0"/>
        <w:spacing w:line="360" w:lineRule="auto"/>
        <w:ind w:left="1260" w:right="96" w:hanging="692"/>
        <w:jc w:val="both"/>
        <w:rPr>
          <w:rFonts w:cs="Times New Roman"/>
          <w:szCs w:val="24"/>
        </w:rPr>
      </w:pPr>
      <w:r>
        <w:rPr>
          <w:rFonts w:cs="Times New Roman"/>
          <w:szCs w:val="24"/>
        </w:rPr>
        <w:t>veiklos rezultatų ataskaitoje pateikiami elementai – pajamos ir sąnaudos – reikalingi įstaigos veiklos rezultatams įvertinti.</w:t>
      </w:r>
    </w:p>
    <w:p w:rsidR="00A004BD" w:rsidRDefault="00A004BD">
      <w:pPr>
        <w:widowControl w:val="0"/>
        <w:numPr>
          <w:ilvl w:val="0"/>
          <w:numId w:val="2"/>
        </w:numPr>
        <w:shd w:val="clear" w:color="auto" w:fill="FFFFFF"/>
        <w:tabs>
          <w:tab w:val="left" w:pos="1980"/>
        </w:tabs>
        <w:autoSpaceDE w:val="0"/>
        <w:spacing w:line="360" w:lineRule="auto"/>
        <w:jc w:val="both"/>
        <w:rPr>
          <w:rFonts w:cs="Times New Roman"/>
          <w:szCs w:val="24"/>
          <w:lang w:val="lt-LT"/>
        </w:rPr>
      </w:pPr>
      <w:r>
        <w:rPr>
          <w:rFonts w:cs="Times New Roman"/>
          <w:szCs w:val="24"/>
        </w:rPr>
        <w:t>Finansinių ataskaitų elementai įvertinami įvairiais metodais ir jų deriniais (pavyzdžiui, įsigijimo savikaina, tikrąja verte, realizavimo verte, grynąja galimo realizavimo verte, einamųjų išlaidų verte ir dabartine verte). Vertindama finansinių ataskaitų elementus, L/d „Žilvitis“</w:t>
      </w:r>
      <w:r>
        <w:rPr>
          <w:szCs w:val="24"/>
        </w:rPr>
        <w:t xml:space="preserve"> </w:t>
      </w:r>
      <w:r>
        <w:rPr>
          <w:rFonts w:cs="Times New Roman"/>
          <w:szCs w:val="24"/>
        </w:rPr>
        <w:t xml:space="preserve"> vadovaujasi VSAFAS reikalavimais ir taisyklėmis, aprašytomis VSAFAS ir apskaitos tvarkų aprašuose.</w:t>
      </w:r>
    </w:p>
    <w:p w:rsidR="00A004BD" w:rsidRDefault="00A004BD">
      <w:pPr>
        <w:tabs>
          <w:tab w:val="left" w:pos="1980"/>
        </w:tabs>
        <w:spacing w:line="360" w:lineRule="auto"/>
        <w:ind w:right="96"/>
        <w:jc w:val="both"/>
        <w:rPr>
          <w:rFonts w:cs="Times New Roman"/>
          <w:szCs w:val="24"/>
          <w:lang w:val="lt-LT"/>
        </w:rPr>
      </w:pPr>
    </w:p>
    <w:p w:rsidR="00A004BD" w:rsidRDefault="00A004BD">
      <w:pPr>
        <w:pStyle w:val="Antrat2"/>
        <w:numPr>
          <w:ilvl w:val="0"/>
          <w:numId w:val="0"/>
        </w:numPr>
        <w:spacing w:before="0" w:after="0" w:line="360" w:lineRule="auto"/>
        <w:jc w:val="center"/>
        <w:rPr>
          <w:rFonts w:cs="Times New Roman"/>
          <w:szCs w:val="24"/>
        </w:rPr>
      </w:pPr>
      <w:bookmarkStart w:id="56" w:name="__RefHeading___Toc286760006"/>
      <w:bookmarkEnd w:id="56"/>
      <w:r>
        <w:rPr>
          <w:rFonts w:ascii="Times New Roman" w:hAnsi="Times New Roman" w:cs="Times New Roman"/>
          <w:i w:val="0"/>
          <w:color w:val="000000"/>
          <w:spacing w:val="-1"/>
          <w:w w:val="103"/>
          <w:sz w:val="24"/>
        </w:rPr>
        <w:t>Pagrindiniai reikalavimai finansinių ataskaitų rinkiniui</w:t>
      </w:r>
    </w:p>
    <w:p w:rsidR="00A004BD" w:rsidRDefault="00A004BD">
      <w:pPr>
        <w:tabs>
          <w:tab w:val="left" w:pos="1980"/>
        </w:tabs>
        <w:spacing w:line="360" w:lineRule="auto"/>
        <w:ind w:right="96"/>
        <w:jc w:val="both"/>
        <w:rPr>
          <w:rFonts w:cs="Times New Roman"/>
          <w:szCs w:val="24"/>
        </w:rPr>
      </w:pPr>
    </w:p>
    <w:p w:rsidR="00A004BD" w:rsidRDefault="00A004BD">
      <w:pPr>
        <w:widowControl w:val="0"/>
        <w:numPr>
          <w:ilvl w:val="0"/>
          <w:numId w:val="2"/>
        </w:numPr>
        <w:shd w:val="clear" w:color="auto" w:fill="FFFFFF"/>
        <w:tabs>
          <w:tab w:val="left" w:pos="1980"/>
        </w:tabs>
        <w:autoSpaceDE w:val="0"/>
        <w:spacing w:line="360" w:lineRule="auto"/>
        <w:ind w:left="540" w:right="96" w:hanging="540"/>
        <w:jc w:val="both"/>
        <w:rPr>
          <w:rFonts w:cs="Times New Roman"/>
          <w:szCs w:val="24"/>
        </w:rPr>
      </w:pPr>
      <w:r>
        <w:rPr>
          <w:rFonts w:cs="Times New Roman"/>
          <w:szCs w:val="24"/>
        </w:rPr>
        <w:t>Bendrieji finansinių ataskaitų rinkinio pateikimo reikalavimai nurodyti 1-ajame VSAFAS „Informacijos pateikimas finansinių ataskaitų rinkinyje“.</w:t>
      </w:r>
    </w:p>
    <w:p w:rsidR="00A004BD" w:rsidRDefault="00A004BD">
      <w:pPr>
        <w:widowControl w:val="0"/>
        <w:numPr>
          <w:ilvl w:val="0"/>
          <w:numId w:val="2"/>
        </w:numPr>
        <w:shd w:val="clear" w:color="auto" w:fill="FFFFFF"/>
        <w:tabs>
          <w:tab w:val="left" w:pos="1980"/>
        </w:tabs>
        <w:autoSpaceDE w:val="0"/>
        <w:spacing w:line="360" w:lineRule="auto"/>
        <w:jc w:val="both"/>
        <w:rPr>
          <w:rFonts w:cs="Times New Roman"/>
          <w:szCs w:val="24"/>
        </w:rPr>
      </w:pPr>
      <w:r>
        <w:rPr>
          <w:rFonts w:cs="Times New Roman"/>
          <w:szCs w:val="24"/>
        </w:rPr>
        <w:t>L/d „Žilvitis“</w:t>
      </w:r>
      <w:r>
        <w:rPr>
          <w:szCs w:val="24"/>
        </w:rPr>
        <w:t xml:space="preserve"> </w:t>
      </w:r>
      <w:r>
        <w:rPr>
          <w:rFonts w:cs="Times New Roman"/>
          <w:szCs w:val="24"/>
        </w:rPr>
        <w:t xml:space="preserve"> finansinių ataskaitų rinkinys rengiamas pagal VSAFAS. Finansinių ataskaitų rinkinio negalima apibūdinti kaip atitinkančio šiuos standartus, jeigu jis neatitinka bent vieno taikytino VSAFAS ar jo reikalavimo.</w:t>
      </w:r>
    </w:p>
    <w:p w:rsidR="00A004BD" w:rsidRDefault="00A004BD">
      <w:pPr>
        <w:widowControl w:val="0"/>
        <w:numPr>
          <w:ilvl w:val="0"/>
          <w:numId w:val="2"/>
        </w:numPr>
        <w:shd w:val="clear" w:color="auto" w:fill="FFFFFF"/>
        <w:tabs>
          <w:tab w:val="left" w:pos="1980"/>
        </w:tabs>
        <w:autoSpaceDE w:val="0"/>
        <w:spacing w:line="360" w:lineRule="auto"/>
        <w:ind w:left="540" w:right="96" w:hanging="540"/>
        <w:jc w:val="both"/>
        <w:rPr>
          <w:rFonts w:cs="Times New Roman"/>
          <w:szCs w:val="24"/>
        </w:rPr>
      </w:pPr>
      <w:r>
        <w:rPr>
          <w:rFonts w:cs="Times New Roman"/>
          <w:szCs w:val="24"/>
        </w:rPr>
        <w:t>Nukrypimai nuo standartų neleidžiami, išskyrus tuos retus atvejus, kai Lietuvos Respublikos įstatymai ar kiti teisės aktai, viršesni nei VSAFAS, reglamentuojantys viešojo sektoriaus subjektų veiklą, nustato ką kita.</w:t>
      </w:r>
    </w:p>
    <w:p w:rsidR="00A004BD" w:rsidRDefault="00A004BD">
      <w:pPr>
        <w:widowControl w:val="0"/>
        <w:shd w:val="clear" w:color="auto" w:fill="FFFFFF"/>
        <w:tabs>
          <w:tab w:val="left" w:pos="1980"/>
        </w:tabs>
        <w:autoSpaceDE w:val="0"/>
        <w:ind w:right="96"/>
        <w:jc w:val="both"/>
        <w:rPr>
          <w:rFonts w:cs="Times New Roman"/>
          <w:szCs w:val="24"/>
        </w:rPr>
      </w:pPr>
    </w:p>
    <w:p w:rsidR="00A004BD" w:rsidRDefault="00A004BD">
      <w:pPr>
        <w:pStyle w:val="Antrat2"/>
        <w:numPr>
          <w:ilvl w:val="0"/>
          <w:numId w:val="0"/>
        </w:numPr>
        <w:spacing w:before="0" w:after="0" w:line="360" w:lineRule="auto"/>
        <w:jc w:val="center"/>
      </w:pPr>
      <w:r>
        <w:rPr>
          <w:rFonts w:ascii="Times New Roman" w:hAnsi="Times New Roman" w:cs="Times New Roman"/>
          <w:i w:val="0"/>
          <w:color w:val="000000"/>
          <w:spacing w:val="-1"/>
          <w:w w:val="103"/>
          <w:sz w:val="24"/>
        </w:rPr>
        <w:t>Didžiosios knygos likučių tarpusavio sąsajų testai</w:t>
      </w:r>
    </w:p>
    <w:p w:rsidR="00A004BD" w:rsidRDefault="00A004BD"/>
    <w:p w:rsidR="00A004BD" w:rsidRDefault="00A004BD">
      <w:pPr>
        <w:spacing w:before="120" w:after="120"/>
        <w:rPr>
          <w:b/>
          <w:szCs w:val="24"/>
        </w:rPr>
      </w:pPr>
      <w:r>
        <w:rPr>
          <w:szCs w:val="24"/>
          <w:lang w:val="en-GB"/>
        </w:rPr>
        <w:t xml:space="preserve">4 </w:t>
      </w:r>
      <w:r>
        <w:rPr>
          <w:szCs w:val="24"/>
        </w:rPr>
        <w:t xml:space="preserve">lentelė. Didžiosios knygos likučių tarpusavio sąsajų testai </w:t>
      </w:r>
    </w:p>
    <w:tbl>
      <w:tblPr>
        <w:tblW w:w="0" w:type="auto"/>
        <w:tblInd w:w="-15" w:type="dxa"/>
        <w:tblLayout w:type="fixed"/>
        <w:tblLook w:val="0000"/>
      </w:tblPr>
      <w:tblGrid>
        <w:gridCol w:w="577"/>
        <w:gridCol w:w="3926"/>
        <w:gridCol w:w="1701"/>
        <w:gridCol w:w="4140"/>
      </w:tblGrid>
      <w:tr w:rsidR="00A004BD">
        <w:trPr>
          <w:tblHeader/>
        </w:trPr>
        <w:tc>
          <w:tcPr>
            <w:tcW w:w="577" w:type="dxa"/>
            <w:tcBorders>
              <w:top w:val="single" w:sz="4" w:space="0" w:color="000000"/>
              <w:left w:val="single" w:sz="4" w:space="0" w:color="000000"/>
              <w:bottom w:val="single" w:sz="4" w:space="0" w:color="000000"/>
            </w:tcBorders>
            <w:shd w:val="clear" w:color="auto" w:fill="D9D9D9"/>
            <w:vAlign w:val="center"/>
          </w:tcPr>
          <w:p w:rsidR="00A004BD" w:rsidRDefault="00A004BD">
            <w:pPr>
              <w:rPr>
                <w:rStyle w:val="apple-style-span"/>
                <w:rFonts w:eastAsia="Calibri"/>
                <w:b/>
                <w:szCs w:val="24"/>
              </w:rPr>
            </w:pPr>
            <w:r>
              <w:rPr>
                <w:b/>
                <w:szCs w:val="24"/>
              </w:rPr>
              <w:lastRenderedPageBreak/>
              <w:t>Eil nr.</w:t>
            </w:r>
          </w:p>
        </w:tc>
        <w:tc>
          <w:tcPr>
            <w:tcW w:w="3926" w:type="dxa"/>
            <w:tcBorders>
              <w:top w:val="single" w:sz="4" w:space="0" w:color="000000"/>
              <w:left w:val="single" w:sz="4" w:space="0" w:color="000000"/>
              <w:bottom w:val="single" w:sz="4" w:space="0" w:color="000000"/>
            </w:tcBorders>
            <w:shd w:val="clear" w:color="auto" w:fill="D9D9D9"/>
            <w:vAlign w:val="center"/>
          </w:tcPr>
          <w:p w:rsidR="00A004BD" w:rsidRDefault="00A004BD">
            <w:pPr>
              <w:rPr>
                <w:b/>
                <w:szCs w:val="24"/>
              </w:rPr>
            </w:pPr>
            <w:r>
              <w:rPr>
                <w:rStyle w:val="apple-style-span"/>
                <w:rFonts w:eastAsia="Calibri"/>
                <w:b/>
                <w:szCs w:val="24"/>
              </w:rPr>
              <w:t>Turto/ įsipareigojimų grupė</w:t>
            </w:r>
          </w:p>
        </w:tc>
        <w:tc>
          <w:tcPr>
            <w:tcW w:w="1701" w:type="dxa"/>
            <w:tcBorders>
              <w:top w:val="single" w:sz="4" w:space="0" w:color="000000"/>
              <w:left w:val="single" w:sz="4" w:space="0" w:color="000000"/>
              <w:bottom w:val="single" w:sz="4" w:space="0" w:color="000000"/>
            </w:tcBorders>
            <w:shd w:val="clear" w:color="auto" w:fill="D9D9D9"/>
            <w:vAlign w:val="center"/>
          </w:tcPr>
          <w:p w:rsidR="00A004BD" w:rsidRDefault="00A004BD">
            <w:pPr>
              <w:rPr>
                <w:b/>
                <w:szCs w:val="24"/>
              </w:rPr>
            </w:pPr>
            <w:r>
              <w:rPr>
                <w:b/>
                <w:szCs w:val="24"/>
              </w:rPr>
              <w:t xml:space="preserve">Suma lygi </w:t>
            </w:r>
          </w:p>
        </w:tc>
        <w:tc>
          <w:tcPr>
            <w:tcW w:w="41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004BD" w:rsidRDefault="00A004BD">
            <w:r>
              <w:rPr>
                <w:b/>
                <w:szCs w:val="24"/>
              </w:rPr>
              <w:t>Paaiškinimas</w:t>
            </w:r>
          </w:p>
        </w:tc>
      </w:tr>
      <w:tr w:rsidR="00A004BD">
        <w:tc>
          <w:tcPr>
            <w:tcW w:w="577" w:type="dxa"/>
            <w:tcBorders>
              <w:top w:val="single" w:sz="4" w:space="0" w:color="000000"/>
              <w:left w:val="single" w:sz="4" w:space="0" w:color="000000"/>
              <w:bottom w:val="single" w:sz="4" w:space="0" w:color="000000"/>
            </w:tcBorders>
            <w:shd w:val="clear" w:color="auto" w:fill="auto"/>
          </w:tcPr>
          <w:p w:rsidR="00A004BD" w:rsidRDefault="00A004BD">
            <w:pPr>
              <w:rPr>
                <w:szCs w:val="24"/>
              </w:rPr>
            </w:pPr>
            <w:r>
              <w:rPr>
                <w:szCs w:val="24"/>
              </w:rPr>
              <w:t>1.</w:t>
            </w:r>
          </w:p>
        </w:tc>
        <w:tc>
          <w:tcPr>
            <w:tcW w:w="9767" w:type="dxa"/>
            <w:gridSpan w:val="3"/>
            <w:tcBorders>
              <w:top w:val="single" w:sz="4" w:space="0" w:color="000000"/>
              <w:left w:val="single" w:sz="4" w:space="0" w:color="000000"/>
              <w:bottom w:val="single" w:sz="4" w:space="0" w:color="000000"/>
              <w:right w:val="single" w:sz="4" w:space="0" w:color="000000"/>
            </w:tcBorders>
            <w:shd w:val="clear" w:color="auto" w:fill="auto"/>
          </w:tcPr>
          <w:p w:rsidR="00A004BD" w:rsidRDefault="00A004BD">
            <w:pPr>
              <w:jc w:val="both"/>
            </w:pPr>
            <w:r>
              <w:rPr>
                <w:szCs w:val="24"/>
              </w:rPr>
              <w:t>Didžiosios knygos likučių tarpusavio sąsajų testai</w:t>
            </w:r>
          </w:p>
        </w:tc>
      </w:tr>
      <w:tr w:rsidR="00A004BD">
        <w:tc>
          <w:tcPr>
            <w:tcW w:w="577" w:type="dxa"/>
            <w:tcBorders>
              <w:top w:val="single" w:sz="4" w:space="0" w:color="000000"/>
              <w:left w:val="single" w:sz="4" w:space="0" w:color="000000"/>
              <w:bottom w:val="single" w:sz="4" w:space="0" w:color="000000"/>
            </w:tcBorders>
            <w:shd w:val="clear" w:color="auto" w:fill="auto"/>
          </w:tcPr>
          <w:p w:rsidR="00A004BD" w:rsidRDefault="00A004BD">
            <w:pPr>
              <w:rPr>
                <w:rFonts w:cs="Times New Roman"/>
                <w:szCs w:val="24"/>
              </w:rPr>
            </w:pPr>
            <w:r>
              <w:rPr>
                <w:szCs w:val="24"/>
              </w:rPr>
              <w:t>1.1.</w:t>
            </w:r>
          </w:p>
        </w:tc>
        <w:tc>
          <w:tcPr>
            <w:tcW w:w="3926" w:type="dxa"/>
            <w:tcBorders>
              <w:top w:val="single" w:sz="4" w:space="0" w:color="000000"/>
              <w:left w:val="single" w:sz="4" w:space="0" w:color="000000"/>
              <w:bottom w:val="single" w:sz="4" w:space="0" w:color="000000"/>
            </w:tcBorders>
            <w:shd w:val="clear" w:color="auto" w:fill="auto"/>
          </w:tcPr>
          <w:p w:rsidR="00A004BD" w:rsidRDefault="00A004BD">
            <w:pPr>
              <w:widowControl w:val="0"/>
              <w:shd w:val="clear" w:color="auto" w:fill="FFFFFF"/>
              <w:tabs>
                <w:tab w:val="left" w:pos="1980"/>
              </w:tabs>
              <w:autoSpaceDE w:val="0"/>
              <w:jc w:val="both"/>
              <w:rPr>
                <w:rFonts w:cs="Times New Roman"/>
                <w:szCs w:val="24"/>
              </w:rPr>
            </w:pPr>
            <w:r>
              <w:rPr>
                <w:rFonts w:cs="Times New Roman"/>
                <w:szCs w:val="24"/>
              </w:rPr>
              <w:t>Ilgalaikis turtas (likutis) (išskyrus ilgalaikes gautinas sumas už parduotas prekes, turtą, paslaugas, gautinas sumas už turto naudojimą) +</w:t>
            </w:r>
          </w:p>
          <w:p w:rsidR="00A004BD" w:rsidRDefault="00A004BD">
            <w:pPr>
              <w:widowControl w:val="0"/>
              <w:shd w:val="clear" w:color="auto" w:fill="FFFFFF"/>
              <w:tabs>
                <w:tab w:val="left" w:pos="1980"/>
              </w:tabs>
              <w:autoSpaceDE w:val="0"/>
              <w:jc w:val="both"/>
              <w:rPr>
                <w:rFonts w:cs="Times New Roman"/>
                <w:szCs w:val="24"/>
              </w:rPr>
            </w:pPr>
            <w:r>
              <w:rPr>
                <w:rFonts w:cs="Times New Roman"/>
                <w:szCs w:val="24"/>
              </w:rPr>
              <w:t>Atsargos (likutis) +</w:t>
            </w:r>
          </w:p>
          <w:p w:rsidR="00A004BD" w:rsidRDefault="00A004BD">
            <w:pPr>
              <w:widowControl w:val="0"/>
              <w:shd w:val="clear" w:color="auto" w:fill="FFFFFF"/>
              <w:tabs>
                <w:tab w:val="left" w:pos="1980"/>
              </w:tabs>
              <w:autoSpaceDE w:val="0"/>
              <w:jc w:val="both"/>
              <w:rPr>
                <w:rFonts w:cs="Times New Roman"/>
                <w:szCs w:val="24"/>
              </w:rPr>
            </w:pPr>
            <w:r>
              <w:rPr>
                <w:rFonts w:cs="Times New Roman"/>
                <w:szCs w:val="24"/>
              </w:rPr>
              <w:t>Išankstiniai mokėjimai (likutis) +</w:t>
            </w:r>
          </w:p>
          <w:p w:rsidR="00A004BD" w:rsidRDefault="00A004BD">
            <w:pPr>
              <w:widowControl w:val="0"/>
              <w:shd w:val="clear" w:color="auto" w:fill="FFFFFF"/>
              <w:tabs>
                <w:tab w:val="left" w:pos="1980"/>
              </w:tabs>
              <w:autoSpaceDE w:val="0"/>
              <w:jc w:val="both"/>
              <w:rPr>
                <w:rFonts w:cs="Times New Roman"/>
                <w:szCs w:val="24"/>
              </w:rPr>
            </w:pPr>
            <w:r>
              <w:rPr>
                <w:rFonts w:cs="Times New Roman"/>
                <w:szCs w:val="24"/>
              </w:rPr>
              <w:t>Per vienus metus gautinos sumos (likutis) (išskyrus gautinas sumas už parduotas prekes, turtą, paslaugas, gautinas sumas už turto naudojimą, gautinas sumas už konfiskuotą turtą, baudas ir kitas netesybas, sukauptas gautinas sumas iš valstybės/ savivaldybės biudžeto pagal specialias programas) +</w:t>
            </w:r>
          </w:p>
          <w:p w:rsidR="00A004BD" w:rsidRDefault="00A004BD">
            <w:pPr>
              <w:widowControl w:val="0"/>
              <w:shd w:val="clear" w:color="auto" w:fill="FFFFFF"/>
              <w:tabs>
                <w:tab w:val="left" w:pos="1980"/>
              </w:tabs>
              <w:autoSpaceDE w:val="0"/>
              <w:jc w:val="both"/>
              <w:rPr>
                <w:rFonts w:cs="Times New Roman"/>
                <w:szCs w:val="24"/>
              </w:rPr>
            </w:pPr>
            <w:r>
              <w:rPr>
                <w:rFonts w:cs="Times New Roman"/>
                <w:szCs w:val="24"/>
              </w:rPr>
              <w:t>Trumpalaikės investicijos (likutis) +</w:t>
            </w:r>
          </w:p>
          <w:p w:rsidR="00A004BD" w:rsidRDefault="00A004BD">
            <w:pPr>
              <w:widowControl w:val="0"/>
              <w:shd w:val="clear" w:color="auto" w:fill="FFFFFF"/>
              <w:tabs>
                <w:tab w:val="left" w:pos="1980"/>
              </w:tabs>
              <w:autoSpaceDE w:val="0"/>
              <w:jc w:val="both"/>
              <w:rPr>
                <w:rFonts w:cs="Times New Roman"/>
                <w:szCs w:val="24"/>
              </w:rPr>
            </w:pPr>
            <w:r>
              <w:rPr>
                <w:rFonts w:cs="Times New Roman"/>
                <w:szCs w:val="24"/>
              </w:rPr>
              <w:t>Pinigai ir pinigų ekvivalentai (likutis)</w:t>
            </w:r>
          </w:p>
        </w:tc>
        <w:tc>
          <w:tcPr>
            <w:tcW w:w="1701" w:type="dxa"/>
            <w:tcBorders>
              <w:top w:val="single" w:sz="4" w:space="0" w:color="000000"/>
              <w:left w:val="single" w:sz="4" w:space="0" w:color="000000"/>
              <w:bottom w:val="single" w:sz="4" w:space="0" w:color="000000"/>
            </w:tcBorders>
            <w:shd w:val="clear" w:color="auto" w:fill="auto"/>
          </w:tcPr>
          <w:p w:rsidR="00A004BD" w:rsidRDefault="00A004BD">
            <w:pPr>
              <w:rPr>
                <w:rFonts w:cs="Times New Roman"/>
                <w:szCs w:val="24"/>
              </w:rPr>
            </w:pPr>
            <w:r>
              <w:rPr>
                <w:rFonts w:cs="Times New Roman"/>
                <w:szCs w:val="24"/>
              </w:rPr>
              <w:t>Finansavimo sumos (gautinos) (likutis) +</w:t>
            </w:r>
          </w:p>
          <w:p w:rsidR="00A004BD" w:rsidRDefault="00A004BD">
            <w:pPr>
              <w:rPr>
                <w:rFonts w:cs="Times New Roman"/>
                <w:szCs w:val="24"/>
              </w:rPr>
            </w:pPr>
            <w:r>
              <w:rPr>
                <w:rFonts w:cs="Times New Roman"/>
                <w:szCs w:val="24"/>
              </w:rPr>
              <w:t>Finansavimo sumos (gautos) (likutis)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A004BD" w:rsidRDefault="00A004BD">
            <w:pPr>
              <w:jc w:val="both"/>
            </w:pPr>
            <w:r>
              <w:rPr>
                <w:rFonts w:cs="Times New Roman"/>
                <w:szCs w:val="24"/>
              </w:rPr>
              <w:t>Taikant šį testą reikėtų įvertinti visas turto straipsnių sumas, kurios nėra susijusios su finansavimo sumomis (pvz., ilgalaikis materialus turtas buvo įsigytas ne iš finansavimo sumų, banko sąskaitoje yra spec. lėšų likutis), ir jas atimti iš turto likučių. Taip pat reikėtų įvertinti, ar už visą įsigytą turtą ataskaitinio laikotarpio pabaigoje buvo apmokėta arba buvo pateiktos paraiškos finansavimui gauti. Jeigu ataskaitinio laikotarpio pabaigoje yra turto, už kurį nėra apmokėta ir nėra pateikta paraiška, taikant aukščiau aprašytą testą, šias turto sumas reikėtų atimti iš turto likučių.</w:t>
            </w:r>
          </w:p>
        </w:tc>
      </w:tr>
      <w:tr w:rsidR="00A004BD">
        <w:tc>
          <w:tcPr>
            <w:tcW w:w="577" w:type="dxa"/>
            <w:tcBorders>
              <w:top w:val="single" w:sz="4" w:space="0" w:color="000000"/>
              <w:left w:val="single" w:sz="4" w:space="0" w:color="000000"/>
              <w:bottom w:val="single" w:sz="4" w:space="0" w:color="000000"/>
            </w:tcBorders>
            <w:shd w:val="clear" w:color="auto" w:fill="auto"/>
          </w:tcPr>
          <w:p w:rsidR="00A004BD" w:rsidRDefault="00A004BD">
            <w:pPr>
              <w:rPr>
                <w:szCs w:val="24"/>
              </w:rPr>
            </w:pPr>
            <w:r>
              <w:rPr>
                <w:szCs w:val="24"/>
              </w:rPr>
              <w:t>2.</w:t>
            </w:r>
          </w:p>
        </w:tc>
        <w:tc>
          <w:tcPr>
            <w:tcW w:w="9767" w:type="dxa"/>
            <w:gridSpan w:val="3"/>
            <w:tcBorders>
              <w:top w:val="single" w:sz="4" w:space="0" w:color="000000"/>
              <w:left w:val="single" w:sz="4" w:space="0" w:color="000000"/>
              <w:bottom w:val="single" w:sz="4" w:space="0" w:color="000000"/>
              <w:right w:val="single" w:sz="4" w:space="0" w:color="000000"/>
            </w:tcBorders>
            <w:shd w:val="clear" w:color="auto" w:fill="auto"/>
          </w:tcPr>
          <w:p w:rsidR="00A004BD" w:rsidRDefault="00A004BD">
            <w:pPr>
              <w:tabs>
                <w:tab w:val="left" w:pos="34"/>
              </w:tabs>
            </w:pPr>
            <w:r>
              <w:rPr>
                <w:szCs w:val="24"/>
              </w:rPr>
              <w:t>Didžiosios knygos likučių tarpusavio sąsajų testai</w:t>
            </w:r>
          </w:p>
        </w:tc>
      </w:tr>
      <w:tr w:rsidR="00A004BD">
        <w:tc>
          <w:tcPr>
            <w:tcW w:w="577" w:type="dxa"/>
            <w:tcBorders>
              <w:top w:val="single" w:sz="4" w:space="0" w:color="000000"/>
              <w:left w:val="single" w:sz="4" w:space="0" w:color="000000"/>
              <w:bottom w:val="single" w:sz="4" w:space="0" w:color="000000"/>
            </w:tcBorders>
            <w:shd w:val="clear" w:color="auto" w:fill="auto"/>
          </w:tcPr>
          <w:p w:rsidR="00A004BD" w:rsidRDefault="00A004BD">
            <w:pPr>
              <w:rPr>
                <w:rFonts w:cs="Times New Roman"/>
                <w:szCs w:val="24"/>
              </w:rPr>
            </w:pPr>
            <w:r>
              <w:rPr>
                <w:szCs w:val="24"/>
              </w:rPr>
              <w:t>2.1.</w:t>
            </w:r>
          </w:p>
        </w:tc>
        <w:tc>
          <w:tcPr>
            <w:tcW w:w="3926" w:type="dxa"/>
            <w:tcBorders>
              <w:top w:val="single" w:sz="4" w:space="0" w:color="000000"/>
              <w:left w:val="single" w:sz="4" w:space="0" w:color="000000"/>
              <w:bottom w:val="single" w:sz="4" w:space="0" w:color="000000"/>
            </w:tcBorders>
            <w:shd w:val="clear" w:color="auto" w:fill="auto"/>
          </w:tcPr>
          <w:p w:rsidR="00A004BD" w:rsidRDefault="00A004BD">
            <w:pPr>
              <w:widowControl w:val="0"/>
              <w:shd w:val="clear" w:color="auto" w:fill="FFFFFF"/>
              <w:tabs>
                <w:tab w:val="left" w:pos="1980"/>
              </w:tabs>
              <w:autoSpaceDE w:val="0"/>
              <w:rPr>
                <w:rFonts w:cs="Times New Roman"/>
                <w:szCs w:val="24"/>
              </w:rPr>
            </w:pPr>
            <w:r>
              <w:rPr>
                <w:rFonts w:cs="Times New Roman"/>
                <w:szCs w:val="24"/>
              </w:rPr>
              <w:t xml:space="preserve">Finansavimo sumos nepiniginiam turtui įsigyti (gautos) (likutis) </w:t>
            </w:r>
            <w:r>
              <w:rPr>
                <w:rFonts w:cs="Times New Roman"/>
                <w:szCs w:val="24"/>
                <w:lang w:val="en-US"/>
              </w:rPr>
              <w:t>+</w:t>
            </w:r>
            <w:r>
              <w:rPr>
                <w:rFonts w:cs="Times New Roman"/>
                <w:szCs w:val="24"/>
              </w:rPr>
              <w:t xml:space="preserve"> Finansavimo sumos nepiniginiam turtui įsigyti (gautinos) (likutis)</w:t>
            </w:r>
          </w:p>
        </w:tc>
        <w:tc>
          <w:tcPr>
            <w:tcW w:w="1701" w:type="dxa"/>
            <w:tcBorders>
              <w:top w:val="single" w:sz="4" w:space="0" w:color="000000"/>
              <w:left w:val="single" w:sz="4" w:space="0" w:color="000000"/>
              <w:bottom w:val="single" w:sz="4" w:space="0" w:color="000000"/>
            </w:tcBorders>
            <w:shd w:val="clear" w:color="auto" w:fill="auto"/>
          </w:tcPr>
          <w:p w:rsidR="00A004BD" w:rsidRDefault="00A004BD">
            <w:pPr>
              <w:tabs>
                <w:tab w:val="left" w:pos="34"/>
              </w:tabs>
              <w:rPr>
                <w:rFonts w:cs="Times New Roman"/>
                <w:szCs w:val="24"/>
              </w:rPr>
            </w:pPr>
            <w:r>
              <w:rPr>
                <w:rFonts w:cs="Times New Roman"/>
                <w:szCs w:val="24"/>
              </w:rPr>
              <w:t xml:space="preserve">Ilgalaikis turtas (likutis) (išskyrus ilgalaikes gautinas sumas už parduotas prekes, turtą, paslaugas, gautinas sumas už turto naudojimą) </w:t>
            </w:r>
            <w:r>
              <w:rPr>
                <w:rFonts w:cs="Times New Roman"/>
                <w:szCs w:val="24"/>
                <w:lang w:val="en-US"/>
              </w:rPr>
              <w:t>+</w:t>
            </w:r>
          </w:p>
          <w:p w:rsidR="00A004BD" w:rsidRDefault="00A004BD">
            <w:pPr>
              <w:tabs>
                <w:tab w:val="left" w:pos="34"/>
              </w:tabs>
              <w:rPr>
                <w:rFonts w:cs="Times New Roman"/>
                <w:szCs w:val="24"/>
              </w:rPr>
            </w:pPr>
            <w:r>
              <w:rPr>
                <w:rFonts w:cs="Times New Roman"/>
                <w:szCs w:val="24"/>
              </w:rPr>
              <w:t>Atsargos (likutis)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A004BD" w:rsidRDefault="00A004BD">
            <w:pPr>
              <w:tabs>
                <w:tab w:val="left" w:pos="34"/>
              </w:tabs>
            </w:pPr>
            <w:r>
              <w:rPr>
                <w:rFonts w:cs="Times New Roman"/>
                <w:szCs w:val="24"/>
              </w:rPr>
              <w:t>Taikant šį testą reikėtų įvertinti visas ilgalaikio turto ir atsargų straipsnių sumas, kurios nėra susijusios su finansavimo sumomis (pvz., ilgalaikis materialus turtas arba atsargos buvo įsigyti ne iš finansavimo sumų), ir jas atimti iš turto ir atsargų likučių. Taip pat reikėtų įvertinti, ar už visą įsigytą turtą ataskaitinio laikotarpio pabaigoje buvo apmokėta arba buvo pateiktos paraiškos finansavimui gauti. Jeigu ataskaitinio laikotarpio pabaigoje yra turto, už kurį nėra apmokėta ir nėra pateikta paraiška, taikant aukščiau aprašytą testą, šias turto sumas reikėtų atimti iš turto likučių.</w:t>
            </w:r>
          </w:p>
        </w:tc>
      </w:tr>
    </w:tbl>
    <w:p w:rsidR="00A004BD" w:rsidRDefault="00A004BD">
      <w:pPr>
        <w:widowControl w:val="0"/>
        <w:shd w:val="clear" w:color="auto" w:fill="FFFFFF"/>
        <w:tabs>
          <w:tab w:val="left" w:pos="1980"/>
        </w:tabs>
        <w:autoSpaceDE w:val="0"/>
        <w:ind w:left="1418" w:right="96"/>
        <w:jc w:val="both"/>
        <w:rPr>
          <w:rFonts w:cs="Times New Roman"/>
          <w:szCs w:val="24"/>
        </w:rPr>
      </w:pPr>
    </w:p>
    <w:p w:rsidR="00A004BD" w:rsidRDefault="00A004BD">
      <w:pPr>
        <w:pStyle w:val="Antrat2"/>
        <w:numPr>
          <w:ilvl w:val="0"/>
          <w:numId w:val="0"/>
        </w:numPr>
        <w:spacing w:before="0" w:after="0" w:line="360" w:lineRule="auto"/>
        <w:jc w:val="center"/>
        <w:rPr>
          <w:rFonts w:cs="Times New Roman"/>
          <w:szCs w:val="24"/>
        </w:rPr>
      </w:pPr>
      <w:r>
        <w:rPr>
          <w:rFonts w:ascii="Times New Roman" w:hAnsi="Times New Roman" w:cs="Times New Roman"/>
          <w:i w:val="0"/>
          <w:color w:val="000000"/>
          <w:spacing w:val="-1"/>
          <w:w w:val="103"/>
          <w:sz w:val="24"/>
        </w:rPr>
        <w:t xml:space="preserve">Finansinių ataskaitų tarpusavio sąsajos </w:t>
      </w:r>
    </w:p>
    <w:p w:rsidR="00A004BD" w:rsidRDefault="00A004BD">
      <w:pPr>
        <w:widowControl w:val="0"/>
        <w:shd w:val="clear" w:color="auto" w:fill="FFFFFF"/>
        <w:tabs>
          <w:tab w:val="left" w:pos="1980"/>
        </w:tabs>
        <w:autoSpaceDE w:val="0"/>
        <w:ind w:right="96"/>
        <w:rPr>
          <w:rFonts w:cs="Times New Roman"/>
          <w:b/>
          <w:szCs w:val="24"/>
        </w:rPr>
      </w:pPr>
    </w:p>
    <w:p w:rsidR="00A004BD" w:rsidRDefault="00A004BD">
      <w:pPr>
        <w:widowControl w:val="0"/>
        <w:numPr>
          <w:ilvl w:val="0"/>
          <w:numId w:val="2"/>
        </w:numPr>
        <w:shd w:val="clear" w:color="auto" w:fill="FFFFFF"/>
        <w:tabs>
          <w:tab w:val="left" w:pos="1980"/>
        </w:tabs>
        <w:autoSpaceDE w:val="0"/>
        <w:spacing w:line="360" w:lineRule="auto"/>
        <w:ind w:left="540" w:right="96" w:hanging="540"/>
        <w:jc w:val="both"/>
        <w:rPr>
          <w:rFonts w:cs="Times New Roman"/>
          <w:szCs w:val="24"/>
        </w:rPr>
      </w:pPr>
      <w:r>
        <w:rPr>
          <w:rFonts w:cs="Times New Roman"/>
          <w:szCs w:val="24"/>
        </w:rPr>
        <w:t>Finansinės būklės ataskaitos stulpelyje „Paskutinė praėjusio ataskaitinio laikotarpio diena” pateikti duomenys turi atitikti praėjusių metų finansinės būklės ataskaitos stulpelio „Paskutinė ataskaitinio laikotarpio diena” duomenis (taikoma ir kai rengiama tarpinė finansinės būklės ataskaita).</w:t>
      </w:r>
    </w:p>
    <w:p w:rsidR="00A004BD" w:rsidRDefault="00A004BD">
      <w:pPr>
        <w:pStyle w:val="Sraopastraipa"/>
        <w:widowControl w:val="0"/>
        <w:numPr>
          <w:ilvl w:val="0"/>
          <w:numId w:val="4"/>
        </w:numPr>
        <w:shd w:val="clear" w:color="auto" w:fill="FFFFFF"/>
        <w:tabs>
          <w:tab w:val="left" w:pos="1980"/>
        </w:tabs>
        <w:autoSpaceDE w:val="0"/>
        <w:spacing w:line="360" w:lineRule="auto"/>
        <w:ind w:right="96"/>
        <w:jc w:val="both"/>
        <w:rPr>
          <w:rFonts w:cs="Times New Roman"/>
          <w:szCs w:val="24"/>
        </w:rPr>
      </w:pPr>
      <w:r>
        <w:rPr>
          <w:rFonts w:cs="Times New Roman"/>
          <w:szCs w:val="24"/>
        </w:rPr>
        <w:t xml:space="preserve">Į veiklos rezultatų ataskaitos stulpelį „Praėjęs ataskaitinis laikotarpis” turi būti perkeltos praėjusio ataskaitinio laikotarpio atitinkamų straipsnių sumos. Kadangi veiklos rezultatų ataskaitoje duomenys pateikiami nuo metų pradžios, į tarpinę veiklos rezultatų ataskaitą praėjusio ataskaitinio laikotarpio duomenys perkeliami taip: į ataskaitinio laikotarpio pirmojo ketvirčio ataskaitą – praėjusių metų pirmojo ketvirčio pabaigos duomenys, į ataskaitinio laikotarpio antrojo ketvirčio ataskaitą – praėjusių metų antrojo </w:t>
      </w:r>
      <w:r>
        <w:rPr>
          <w:rFonts w:cs="Times New Roman"/>
          <w:szCs w:val="24"/>
        </w:rPr>
        <w:lastRenderedPageBreak/>
        <w:t>ketvirčio pabaigos duomenys, į trečiojo ketvirčio ataskaitą – praėjusių metų trečiojo ketvirčio pabaigos duomenys.</w:t>
      </w:r>
    </w:p>
    <w:p w:rsidR="00A004BD" w:rsidRDefault="00A004BD">
      <w:pPr>
        <w:pStyle w:val="Sraopastraipa"/>
        <w:widowControl w:val="0"/>
        <w:numPr>
          <w:ilvl w:val="0"/>
          <w:numId w:val="4"/>
        </w:numPr>
        <w:shd w:val="clear" w:color="auto" w:fill="FFFFFF"/>
        <w:tabs>
          <w:tab w:val="left" w:pos="1980"/>
        </w:tabs>
        <w:autoSpaceDE w:val="0"/>
        <w:spacing w:line="360" w:lineRule="auto"/>
        <w:jc w:val="both"/>
        <w:rPr>
          <w:rFonts w:cs="Times New Roman"/>
          <w:szCs w:val="24"/>
        </w:rPr>
      </w:pPr>
      <w:r>
        <w:rPr>
          <w:rFonts w:cs="Times New Roman"/>
          <w:szCs w:val="24"/>
        </w:rPr>
        <w:t>Veiklos rezultatų ataskaitoje apskaičiuotas L/d „Žilvitis“</w:t>
      </w:r>
      <w:r>
        <w:rPr>
          <w:szCs w:val="24"/>
        </w:rPr>
        <w:t xml:space="preserve"> </w:t>
      </w:r>
      <w:r>
        <w:rPr>
          <w:rFonts w:cs="Times New Roman"/>
          <w:szCs w:val="24"/>
        </w:rPr>
        <w:t xml:space="preserve"> ataskaitinio laikotarpio rezultatas „J. Grynasis perviršis ar deficitas“ sutampa su finansinės būklės ataskaitos skilties „IV.1 Einamųjų metų perviršis ar deficitas“ stulpelyje „Paskutinė ataskaitinio laikotarpio diena“ ir su grynojo turto pokyčių ataskaitos skiltyje „16. Ataskaitinio laikotarpio grynasis perviršis ar deficitas“ nurodyta suma.</w:t>
      </w:r>
    </w:p>
    <w:p w:rsidR="00A004BD" w:rsidRDefault="00A004BD">
      <w:pPr>
        <w:widowControl w:val="0"/>
        <w:numPr>
          <w:ilvl w:val="0"/>
          <w:numId w:val="2"/>
        </w:numPr>
        <w:shd w:val="clear" w:color="auto" w:fill="FFFFFF"/>
        <w:tabs>
          <w:tab w:val="left" w:pos="1980"/>
        </w:tabs>
        <w:autoSpaceDE w:val="0"/>
        <w:spacing w:line="360" w:lineRule="auto"/>
        <w:ind w:left="540" w:right="96" w:hanging="540"/>
        <w:jc w:val="both"/>
        <w:rPr>
          <w:rFonts w:cs="Times New Roman"/>
          <w:szCs w:val="24"/>
        </w:rPr>
      </w:pPr>
      <w:r>
        <w:rPr>
          <w:rFonts w:cs="Times New Roman"/>
          <w:szCs w:val="24"/>
        </w:rPr>
        <w:t>Grynojo turto pokyčių ataskaitos galutiniai skaičiai paskutinę ataskaitinio laikotarpio dieną sutampa su finansinės būklės ataskaitos „F. Grynasis turtas“ ir „G. Mažumos dalis“ stulpelyje „Paskutinė ataskaitinio laikotarpio diena“ nurodytomis sumomis.</w:t>
      </w:r>
    </w:p>
    <w:p w:rsidR="00A004BD" w:rsidRDefault="00A004BD">
      <w:pPr>
        <w:widowControl w:val="0"/>
        <w:numPr>
          <w:ilvl w:val="0"/>
          <w:numId w:val="2"/>
        </w:numPr>
        <w:shd w:val="clear" w:color="auto" w:fill="FFFFFF"/>
        <w:tabs>
          <w:tab w:val="left" w:pos="1980"/>
        </w:tabs>
        <w:autoSpaceDE w:val="0"/>
        <w:spacing w:line="360" w:lineRule="auto"/>
        <w:ind w:left="540" w:right="96" w:hanging="540"/>
        <w:jc w:val="both"/>
        <w:rPr>
          <w:rFonts w:cs="Times New Roman"/>
          <w:szCs w:val="24"/>
        </w:rPr>
      </w:pPr>
      <w:r>
        <w:rPr>
          <w:rFonts w:cs="Times New Roman"/>
          <w:szCs w:val="24"/>
        </w:rPr>
        <w:t>Pinigų srautų ataskaitos skilties „Pinigų ir pinigų ekvivalentai ataskaitinio laikotarpio pradžioje“ stulpelyje „Ataskaitinis laikotarpis“ nurodyta suma sutampa su finansinės būklės ataskaitos skilties „V. Pinigai ir pinigų ekvivalentai“ stulpelyje „Paskutinė praėjusio ataskaitinio laikotarpio diena“ nurodyta suma, taip pat pinigų srautų ataskaitos skilties „Pinigų ir pinigų ekvivalentai ataskaitinio laikotarpio pabaigoje“ stulpelyje „Ataskaitinis laikotarpis“ nurodyta suma sutampa su finansinės būklės ataskaitos skilties „V. Pinigai ir pinigų ekvivalentai“ stulpelyje „Paskutinė ataskaitinio laikotarpio diena“ nurodyta suma.</w:t>
      </w:r>
    </w:p>
    <w:p w:rsidR="00A004BD" w:rsidRDefault="00A004BD">
      <w:pPr>
        <w:widowControl w:val="0"/>
        <w:shd w:val="clear" w:color="auto" w:fill="FFFFFF"/>
        <w:tabs>
          <w:tab w:val="left" w:pos="1980"/>
        </w:tabs>
        <w:autoSpaceDE w:val="0"/>
        <w:ind w:right="96"/>
        <w:jc w:val="both"/>
        <w:rPr>
          <w:rFonts w:cs="Times New Roman"/>
          <w:szCs w:val="24"/>
        </w:rPr>
      </w:pPr>
    </w:p>
    <w:p w:rsidR="00A004BD" w:rsidRDefault="00A004BD">
      <w:pPr>
        <w:pStyle w:val="Antrat2"/>
        <w:numPr>
          <w:ilvl w:val="0"/>
          <w:numId w:val="0"/>
        </w:numPr>
        <w:spacing w:before="0" w:after="0" w:line="360" w:lineRule="auto"/>
        <w:jc w:val="center"/>
      </w:pPr>
      <w:r>
        <w:rPr>
          <w:rFonts w:ascii="Times New Roman" w:hAnsi="Times New Roman" w:cs="Times New Roman"/>
          <w:i w:val="0"/>
          <w:color w:val="000000"/>
          <w:spacing w:val="-1"/>
          <w:w w:val="103"/>
          <w:sz w:val="24"/>
        </w:rPr>
        <w:t>Finansinių ataskaitų ir aiškinamojo rašto lentelių sąsajų tikrinimas</w:t>
      </w:r>
    </w:p>
    <w:p w:rsidR="00A004BD" w:rsidRDefault="00A004BD">
      <w:pPr>
        <w:spacing w:before="120" w:after="120"/>
        <w:rPr>
          <w:b/>
        </w:rPr>
      </w:pPr>
      <w:r>
        <w:t>6 lentelė. Finansinės būklės ataskaitos ir aiškinamojo rašto lentelių tikrinimas</w:t>
      </w:r>
    </w:p>
    <w:tbl>
      <w:tblPr>
        <w:tblW w:w="0" w:type="auto"/>
        <w:tblInd w:w="-15" w:type="dxa"/>
        <w:tblLayout w:type="fixed"/>
        <w:tblLook w:val="0000"/>
      </w:tblPr>
      <w:tblGrid>
        <w:gridCol w:w="674"/>
        <w:gridCol w:w="2128"/>
        <w:gridCol w:w="6095"/>
        <w:gridCol w:w="1667"/>
      </w:tblGrid>
      <w:tr w:rsidR="00A004BD">
        <w:trPr>
          <w:tblHeader/>
        </w:trPr>
        <w:tc>
          <w:tcPr>
            <w:tcW w:w="674" w:type="dxa"/>
            <w:tcBorders>
              <w:top w:val="single" w:sz="4" w:space="0" w:color="000000"/>
              <w:left w:val="single" w:sz="4" w:space="0" w:color="000000"/>
              <w:bottom w:val="single" w:sz="4" w:space="0" w:color="000000"/>
            </w:tcBorders>
            <w:shd w:val="clear" w:color="auto" w:fill="D9D9D9"/>
            <w:vAlign w:val="center"/>
          </w:tcPr>
          <w:p w:rsidR="00A004BD" w:rsidRDefault="00A004BD">
            <w:pPr>
              <w:rPr>
                <w:b/>
              </w:rPr>
            </w:pPr>
            <w:r>
              <w:rPr>
                <w:b/>
              </w:rPr>
              <w:t>Eil. nr.</w:t>
            </w:r>
          </w:p>
        </w:tc>
        <w:tc>
          <w:tcPr>
            <w:tcW w:w="2128" w:type="dxa"/>
            <w:tcBorders>
              <w:top w:val="single" w:sz="4" w:space="0" w:color="000000"/>
              <w:left w:val="single" w:sz="4" w:space="0" w:color="000000"/>
              <w:bottom w:val="single" w:sz="4" w:space="0" w:color="000000"/>
            </w:tcBorders>
            <w:shd w:val="clear" w:color="auto" w:fill="D9D9D9"/>
            <w:vAlign w:val="center"/>
          </w:tcPr>
          <w:p w:rsidR="00A004BD" w:rsidRDefault="00A004BD">
            <w:pPr>
              <w:rPr>
                <w:b/>
              </w:rPr>
            </w:pPr>
            <w:r>
              <w:rPr>
                <w:b/>
              </w:rPr>
              <w:t>Finansinės būklės ataskaitos straipsnis</w:t>
            </w:r>
          </w:p>
        </w:tc>
        <w:tc>
          <w:tcPr>
            <w:tcW w:w="6095" w:type="dxa"/>
            <w:tcBorders>
              <w:top w:val="single" w:sz="4" w:space="0" w:color="000000"/>
              <w:left w:val="single" w:sz="4" w:space="0" w:color="000000"/>
              <w:bottom w:val="single" w:sz="4" w:space="0" w:color="000000"/>
            </w:tcBorders>
            <w:shd w:val="clear" w:color="auto" w:fill="D9D9D9"/>
            <w:vAlign w:val="center"/>
          </w:tcPr>
          <w:p w:rsidR="00A004BD" w:rsidRDefault="00A004BD">
            <w:pPr>
              <w:rPr>
                <w:b/>
              </w:rPr>
            </w:pPr>
            <w:r>
              <w:rPr>
                <w:b/>
              </w:rPr>
              <w:t>Aiškinamojo rašto lentelės laukas</w:t>
            </w:r>
          </w:p>
        </w:tc>
        <w:tc>
          <w:tcPr>
            <w:tcW w:w="16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004BD" w:rsidRDefault="00A004BD">
            <w:r>
              <w:rPr>
                <w:b/>
              </w:rPr>
              <w:t>Paaiškinimas</w:t>
            </w:r>
          </w:p>
        </w:tc>
      </w:tr>
      <w:tr w:rsidR="00A004BD">
        <w:tc>
          <w:tcPr>
            <w:tcW w:w="674" w:type="dxa"/>
            <w:tcBorders>
              <w:top w:val="single" w:sz="4" w:space="0" w:color="000000"/>
              <w:left w:val="single" w:sz="4" w:space="0" w:color="000000"/>
              <w:bottom w:val="single" w:sz="4" w:space="0" w:color="000000"/>
            </w:tcBorders>
            <w:shd w:val="clear" w:color="auto" w:fill="auto"/>
          </w:tcPr>
          <w:p w:rsidR="00A004BD" w:rsidRDefault="00A004BD">
            <w:pPr>
              <w:widowControl w:val="0"/>
              <w:shd w:val="clear" w:color="auto" w:fill="FFFFFF"/>
              <w:tabs>
                <w:tab w:val="left" w:pos="1980"/>
              </w:tabs>
              <w:autoSpaceDE w:val="0"/>
              <w:rPr>
                <w:rFonts w:cs="Times New Roman"/>
                <w:szCs w:val="24"/>
              </w:rPr>
            </w:pPr>
            <w:r>
              <w:rPr>
                <w:b/>
                <w:szCs w:val="24"/>
              </w:rPr>
              <w:t>A</w:t>
            </w:r>
          </w:p>
        </w:tc>
        <w:tc>
          <w:tcPr>
            <w:tcW w:w="8223" w:type="dxa"/>
            <w:gridSpan w:val="2"/>
            <w:tcBorders>
              <w:top w:val="single" w:sz="4" w:space="0" w:color="000000"/>
              <w:left w:val="single" w:sz="4" w:space="0" w:color="000000"/>
              <w:bottom w:val="single" w:sz="4" w:space="0" w:color="000000"/>
            </w:tcBorders>
            <w:shd w:val="clear" w:color="auto" w:fill="auto"/>
          </w:tcPr>
          <w:p w:rsidR="00A004BD" w:rsidRDefault="00A004BD">
            <w:pPr>
              <w:pStyle w:val="Antrat2"/>
              <w:numPr>
                <w:ilvl w:val="0"/>
                <w:numId w:val="0"/>
              </w:numPr>
              <w:spacing w:before="0" w:after="0"/>
              <w:rPr>
                <w:rFonts w:ascii="Times New Roman" w:hAnsi="Times New Roman" w:cs="Times New Roman"/>
                <w:b w:val="0"/>
                <w:i w:val="0"/>
                <w:color w:val="000000"/>
                <w:spacing w:val="-1"/>
                <w:w w:val="103"/>
                <w:sz w:val="24"/>
                <w:szCs w:val="24"/>
              </w:rPr>
            </w:pPr>
            <w:r>
              <w:rPr>
                <w:rFonts w:ascii="Times New Roman" w:hAnsi="Times New Roman" w:cs="Times New Roman"/>
                <w:i w:val="0"/>
                <w:sz w:val="24"/>
                <w:szCs w:val="24"/>
              </w:rPr>
              <w:t>Ilgalaikis turtas</w:t>
            </w:r>
          </w:p>
        </w:tc>
        <w:tc>
          <w:tcPr>
            <w:tcW w:w="1667" w:type="dxa"/>
            <w:tcBorders>
              <w:top w:val="single" w:sz="4" w:space="0" w:color="000000"/>
              <w:left w:val="single" w:sz="4" w:space="0" w:color="000000"/>
              <w:bottom w:val="single" w:sz="4" w:space="0" w:color="000000"/>
              <w:right w:val="single" w:sz="4" w:space="0" w:color="000000"/>
            </w:tcBorders>
            <w:shd w:val="clear" w:color="auto" w:fill="auto"/>
          </w:tcPr>
          <w:p w:rsidR="00A004BD" w:rsidRDefault="00A004BD">
            <w:pPr>
              <w:pStyle w:val="Antrat2"/>
              <w:numPr>
                <w:ilvl w:val="0"/>
                <w:numId w:val="0"/>
              </w:numPr>
              <w:snapToGrid w:val="0"/>
              <w:spacing w:before="0" w:after="0"/>
              <w:rPr>
                <w:rFonts w:ascii="Times New Roman" w:hAnsi="Times New Roman" w:cs="Times New Roman"/>
                <w:b w:val="0"/>
                <w:i w:val="0"/>
                <w:color w:val="000000"/>
                <w:spacing w:val="-1"/>
                <w:w w:val="103"/>
                <w:sz w:val="24"/>
                <w:szCs w:val="24"/>
              </w:rPr>
            </w:pPr>
          </w:p>
        </w:tc>
      </w:tr>
      <w:tr w:rsidR="00A004BD">
        <w:tc>
          <w:tcPr>
            <w:tcW w:w="674" w:type="dxa"/>
            <w:tcBorders>
              <w:top w:val="single" w:sz="4" w:space="0" w:color="000000"/>
              <w:left w:val="single" w:sz="4" w:space="0" w:color="000000"/>
              <w:bottom w:val="single" w:sz="4" w:space="0" w:color="000000"/>
            </w:tcBorders>
            <w:shd w:val="clear" w:color="auto" w:fill="auto"/>
          </w:tcPr>
          <w:p w:rsidR="00A004BD" w:rsidRDefault="00A004BD">
            <w:pPr>
              <w:widowControl w:val="0"/>
              <w:shd w:val="clear" w:color="auto" w:fill="FFFFFF"/>
              <w:tabs>
                <w:tab w:val="left" w:pos="1980"/>
              </w:tabs>
              <w:autoSpaceDE w:val="0"/>
              <w:rPr>
                <w:rFonts w:cs="Times New Roman"/>
                <w:szCs w:val="24"/>
              </w:rPr>
            </w:pPr>
            <w:r>
              <w:rPr>
                <w:szCs w:val="24"/>
              </w:rPr>
              <w:t>I.</w:t>
            </w:r>
          </w:p>
        </w:tc>
        <w:tc>
          <w:tcPr>
            <w:tcW w:w="2128" w:type="dxa"/>
            <w:tcBorders>
              <w:top w:val="single" w:sz="4" w:space="0" w:color="000000"/>
              <w:left w:val="single" w:sz="4" w:space="0" w:color="000000"/>
              <w:bottom w:val="single" w:sz="4" w:space="0" w:color="000000"/>
            </w:tcBorders>
            <w:shd w:val="clear" w:color="auto" w:fill="auto"/>
          </w:tcPr>
          <w:p w:rsidR="00A004BD" w:rsidRDefault="00A004BD">
            <w:pPr>
              <w:pStyle w:val="Antrat2"/>
              <w:numPr>
                <w:ilvl w:val="0"/>
                <w:numId w:val="0"/>
              </w:numPr>
              <w:spacing w:before="0" w:after="0"/>
              <w:rPr>
                <w:rFonts w:cs="Times New Roman"/>
                <w:szCs w:val="24"/>
              </w:rPr>
            </w:pPr>
            <w:r>
              <w:rPr>
                <w:rFonts w:ascii="Times New Roman" w:hAnsi="Times New Roman" w:cs="Times New Roman"/>
                <w:b w:val="0"/>
                <w:i w:val="0"/>
                <w:sz w:val="24"/>
                <w:szCs w:val="24"/>
              </w:rPr>
              <w:t>Nematerialusis turtas</w:t>
            </w:r>
          </w:p>
        </w:tc>
        <w:tc>
          <w:tcPr>
            <w:tcW w:w="6095" w:type="dxa"/>
            <w:tcBorders>
              <w:top w:val="single" w:sz="4" w:space="0" w:color="000000"/>
              <w:left w:val="single" w:sz="4" w:space="0" w:color="000000"/>
              <w:bottom w:val="single" w:sz="4" w:space="0" w:color="000000"/>
            </w:tcBorders>
            <w:shd w:val="clear" w:color="auto" w:fill="auto"/>
          </w:tcPr>
          <w:p w:rsidR="00A004BD" w:rsidRDefault="00A004BD">
            <w:pPr>
              <w:widowControl w:val="0"/>
              <w:shd w:val="clear" w:color="auto" w:fill="FFFFFF"/>
              <w:tabs>
                <w:tab w:val="left" w:pos="1980"/>
              </w:tabs>
              <w:autoSpaceDE w:val="0"/>
              <w:rPr>
                <w:rFonts w:cs="Times New Roman"/>
                <w:color w:val="000000"/>
                <w:spacing w:val="-1"/>
                <w:w w:val="103"/>
                <w:szCs w:val="24"/>
              </w:rPr>
            </w:pPr>
            <w:r>
              <w:rPr>
                <w:rFonts w:cs="Times New Roman"/>
                <w:szCs w:val="24"/>
              </w:rPr>
              <w:t>Aiškinamojo rašto lentelės „Nematerialiojo turto balansinės vertės pasikeitimas per ataskaitinį laikotarpį“ eilutės „19. Nematerialiojo turto likutinė vertė ataskaitinio laikotarpio pabaigoje“ stulpelio „11. Iš viso“ suma.</w:t>
            </w:r>
          </w:p>
        </w:tc>
        <w:tc>
          <w:tcPr>
            <w:tcW w:w="1667" w:type="dxa"/>
            <w:tcBorders>
              <w:top w:val="single" w:sz="4" w:space="0" w:color="000000"/>
              <w:left w:val="single" w:sz="4" w:space="0" w:color="000000"/>
              <w:bottom w:val="single" w:sz="4" w:space="0" w:color="000000"/>
              <w:right w:val="single" w:sz="4" w:space="0" w:color="000000"/>
            </w:tcBorders>
            <w:shd w:val="clear" w:color="auto" w:fill="auto"/>
          </w:tcPr>
          <w:p w:rsidR="00A004BD" w:rsidRDefault="00A004BD">
            <w:pPr>
              <w:pStyle w:val="Antrat2"/>
              <w:numPr>
                <w:ilvl w:val="0"/>
                <w:numId w:val="0"/>
              </w:numPr>
              <w:spacing w:before="0" w:after="0"/>
            </w:pPr>
            <w:r>
              <w:rPr>
                <w:rFonts w:ascii="Times New Roman" w:hAnsi="Times New Roman" w:cs="Times New Roman"/>
                <w:b w:val="0"/>
                <w:i w:val="0"/>
                <w:color w:val="000000"/>
                <w:spacing w:val="-1"/>
                <w:w w:val="103"/>
                <w:sz w:val="24"/>
                <w:szCs w:val="24"/>
              </w:rPr>
              <w:t xml:space="preserve">Sumos turi sutapti </w:t>
            </w:r>
          </w:p>
        </w:tc>
      </w:tr>
      <w:tr w:rsidR="00A004BD">
        <w:tc>
          <w:tcPr>
            <w:tcW w:w="674" w:type="dxa"/>
            <w:tcBorders>
              <w:top w:val="single" w:sz="4" w:space="0" w:color="000000"/>
              <w:left w:val="single" w:sz="4" w:space="0" w:color="000000"/>
              <w:bottom w:val="single" w:sz="4" w:space="0" w:color="000000"/>
            </w:tcBorders>
            <w:shd w:val="clear" w:color="auto" w:fill="auto"/>
          </w:tcPr>
          <w:p w:rsidR="00A004BD" w:rsidRDefault="00A004BD">
            <w:pPr>
              <w:widowControl w:val="0"/>
              <w:shd w:val="clear" w:color="auto" w:fill="FFFFFF"/>
              <w:tabs>
                <w:tab w:val="left" w:pos="1980"/>
              </w:tabs>
              <w:autoSpaceDE w:val="0"/>
              <w:rPr>
                <w:rFonts w:cs="Times New Roman"/>
                <w:szCs w:val="24"/>
              </w:rPr>
            </w:pPr>
            <w:r>
              <w:rPr>
                <w:szCs w:val="24"/>
              </w:rPr>
              <w:t>II.</w:t>
            </w:r>
          </w:p>
        </w:tc>
        <w:tc>
          <w:tcPr>
            <w:tcW w:w="2128" w:type="dxa"/>
            <w:tcBorders>
              <w:top w:val="single" w:sz="4" w:space="0" w:color="000000"/>
              <w:left w:val="single" w:sz="4" w:space="0" w:color="000000"/>
              <w:bottom w:val="single" w:sz="4" w:space="0" w:color="000000"/>
            </w:tcBorders>
            <w:shd w:val="clear" w:color="auto" w:fill="auto"/>
          </w:tcPr>
          <w:p w:rsidR="00A004BD" w:rsidRDefault="00A004BD">
            <w:pPr>
              <w:pStyle w:val="Antrat2"/>
              <w:numPr>
                <w:ilvl w:val="0"/>
                <w:numId w:val="0"/>
              </w:numPr>
              <w:spacing w:before="0" w:after="0"/>
              <w:rPr>
                <w:rFonts w:cs="Times New Roman"/>
                <w:szCs w:val="24"/>
              </w:rPr>
            </w:pPr>
            <w:r>
              <w:rPr>
                <w:rFonts w:ascii="Times New Roman" w:hAnsi="Times New Roman" w:cs="Times New Roman"/>
                <w:b w:val="0"/>
                <w:i w:val="0"/>
                <w:sz w:val="24"/>
                <w:szCs w:val="24"/>
              </w:rPr>
              <w:t xml:space="preserve">Ilgalaikis materialusis turtas </w:t>
            </w:r>
          </w:p>
        </w:tc>
        <w:tc>
          <w:tcPr>
            <w:tcW w:w="6095" w:type="dxa"/>
            <w:tcBorders>
              <w:top w:val="single" w:sz="4" w:space="0" w:color="000000"/>
              <w:left w:val="single" w:sz="4" w:space="0" w:color="000000"/>
              <w:bottom w:val="single" w:sz="4" w:space="0" w:color="000000"/>
            </w:tcBorders>
            <w:shd w:val="clear" w:color="auto" w:fill="auto"/>
          </w:tcPr>
          <w:p w:rsidR="00A004BD" w:rsidRDefault="00A004BD">
            <w:pPr>
              <w:widowControl w:val="0"/>
              <w:shd w:val="clear" w:color="auto" w:fill="FFFFFF"/>
              <w:tabs>
                <w:tab w:val="left" w:pos="1980"/>
              </w:tabs>
              <w:autoSpaceDE w:val="0"/>
              <w:rPr>
                <w:rFonts w:cs="Times New Roman"/>
                <w:color w:val="000000"/>
                <w:spacing w:val="-1"/>
                <w:w w:val="103"/>
                <w:szCs w:val="24"/>
              </w:rPr>
            </w:pPr>
            <w:r>
              <w:rPr>
                <w:rFonts w:cs="Times New Roman"/>
                <w:szCs w:val="24"/>
              </w:rPr>
              <w:t xml:space="preserve">Aiškinamojo rašto lentelės „Ilgalaikio materialiojo turto balansinės vertės pasikeitimas per ataskaitinį laikotarpį“ eilutės „25. Ilgalaikio materialiojo turto likutinė vertė ataskaitinio laikotarpio pabaigoje“ stulpelio „16. Iš viso“ suma. </w:t>
            </w:r>
          </w:p>
        </w:tc>
        <w:tc>
          <w:tcPr>
            <w:tcW w:w="1667" w:type="dxa"/>
            <w:tcBorders>
              <w:top w:val="single" w:sz="4" w:space="0" w:color="000000"/>
              <w:left w:val="single" w:sz="4" w:space="0" w:color="000000"/>
              <w:bottom w:val="single" w:sz="4" w:space="0" w:color="000000"/>
              <w:right w:val="single" w:sz="4" w:space="0" w:color="000000"/>
            </w:tcBorders>
            <w:shd w:val="clear" w:color="auto" w:fill="auto"/>
          </w:tcPr>
          <w:p w:rsidR="00A004BD" w:rsidRDefault="00A004BD">
            <w:pPr>
              <w:pStyle w:val="Antrat2"/>
              <w:numPr>
                <w:ilvl w:val="0"/>
                <w:numId w:val="0"/>
              </w:numPr>
              <w:spacing w:before="0" w:after="0"/>
            </w:pPr>
            <w:r>
              <w:rPr>
                <w:rFonts w:ascii="Times New Roman" w:hAnsi="Times New Roman" w:cs="Times New Roman"/>
                <w:b w:val="0"/>
                <w:i w:val="0"/>
                <w:color w:val="000000"/>
                <w:spacing w:val="-1"/>
                <w:w w:val="103"/>
                <w:sz w:val="24"/>
                <w:szCs w:val="24"/>
              </w:rPr>
              <w:t>Sumos turi sutapti</w:t>
            </w:r>
          </w:p>
        </w:tc>
      </w:tr>
      <w:tr w:rsidR="00A004BD">
        <w:tc>
          <w:tcPr>
            <w:tcW w:w="674" w:type="dxa"/>
            <w:tcBorders>
              <w:top w:val="single" w:sz="4" w:space="0" w:color="000000"/>
              <w:left w:val="single" w:sz="4" w:space="0" w:color="000000"/>
              <w:bottom w:val="single" w:sz="4" w:space="0" w:color="000000"/>
            </w:tcBorders>
            <w:shd w:val="clear" w:color="auto" w:fill="auto"/>
          </w:tcPr>
          <w:p w:rsidR="00A004BD" w:rsidRDefault="00A004BD">
            <w:pPr>
              <w:widowControl w:val="0"/>
              <w:shd w:val="clear" w:color="auto" w:fill="FFFFFF"/>
              <w:tabs>
                <w:tab w:val="left" w:pos="1980"/>
              </w:tabs>
              <w:autoSpaceDE w:val="0"/>
              <w:rPr>
                <w:rFonts w:cs="Times New Roman"/>
                <w:szCs w:val="24"/>
              </w:rPr>
            </w:pPr>
            <w:r>
              <w:rPr>
                <w:szCs w:val="24"/>
              </w:rPr>
              <w:t>III</w:t>
            </w:r>
          </w:p>
        </w:tc>
        <w:tc>
          <w:tcPr>
            <w:tcW w:w="2128" w:type="dxa"/>
            <w:tcBorders>
              <w:top w:val="single" w:sz="4" w:space="0" w:color="000000"/>
              <w:left w:val="single" w:sz="4" w:space="0" w:color="000000"/>
              <w:bottom w:val="single" w:sz="4" w:space="0" w:color="000000"/>
            </w:tcBorders>
            <w:shd w:val="clear" w:color="auto" w:fill="auto"/>
          </w:tcPr>
          <w:p w:rsidR="00A004BD" w:rsidRDefault="00A004BD">
            <w:pPr>
              <w:pStyle w:val="Antrat2"/>
              <w:numPr>
                <w:ilvl w:val="0"/>
                <w:numId w:val="0"/>
              </w:numPr>
              <w:spacing w:before="0" w:after="0"/>
              <w:rPr>
                <w:rFonts w:cs="Times New Roman"/>
                <w:szCs w:val="24"/>
              </w:rPr>
            </w:pPr>
            <w:r>
              <w:rPr>
                <w:rFonts w:ascii="Times New Roman" w:hAnsi="Times New Roman" w:cs="Times New Roman"/>
                <w:b w:val="0"/>
                <w:i w:val="0"/>
                <w:sz w:val="24"/>
                <w:szCs w:val="24"/>
              </w:rPr>
              <w:t xml:space="preserve">Ilgalaikis finansinis turtas </w:t>
            </w:r>
          </w:p>
        </w:tc>
        <w:tc>
          <w:tcPr>
            <w:tcW w:w="6095" w:type="dxa"/>
            <w:tcBorders>
              <w:top w:val="single" w:sz="4" w:space="0" w:color="000000"/>
              <w:left w:val="single" w:sz="4" w:space="0" w:color="000000"/>
              <w:bottom w:val="single" w:sz="4" w:space="0" w:color="000000"/>
            </w:tcBorders>
            <w:shd w:val="clear" w:color="auto" w:fill="auto"/>
          </w:tcPr>
          <w:p w:rsidR="00A004BD" w:rsidRDefault="00A004BD">
            <w:pPr>
              <w:widowControl w:val="0"/>
              <w:shd w:val="clear" w:color="auto" w:fill="FFFFFF"/>
              <w:tabs>
                <w:tab w:val="left" w:pos="1980"/>
              </w:tabs>
              <w:autoSpaceDE w:val="0"/>
              <w:rPr>
                <w:rFonts w:cs="Times New Roman"/>
                <w:color w:val="000000"/>
                <w:spacing w:val="-1"/>
                <w:w w:val="103"/>
                <w:szCs w:val="24"/>
              </w:rPr>
            </w:pPr>
            <w:r>
              <w:rPr>
                <w:rFonts w:cs="Times New Roman"/>
                <w:szCs w:val="24"/>
              </w:rPr>
              <w:t>Aiškinamojo rašto lentelės „Informacija apie ilgalaikį finansinį turtą“ eilutės „7. Iš viso“ stulpelio „3. Paskutinė ataskaitinio laikotarpio diena“ suma.</w:t>
            </w:r>
          </w:p>
        </w:tc>
        <w:tc>
          <w:tcPr>
            <w:tcW w:w="1667" w:type="dxa"/>
            <w:tcBorders>
              <w:top w:val="single" w:sz="4" w:space="0" w:color="000000"/>
              <w:left w:val="single" w:sz="4" w:space="0" w:color="000000"/>
              <w:bottom w:val="single" w:sz="4" w:space="0" w:color="000000"/>
              <w:right w:val="single" w:sz="4" w:space="0" w:color="000000"/>
            </w:tcBorders>
            <w:shd w:val="clear" w:color="auto" w:fill="auto"/>
          </w:tcPr>
          <w:p w:rsidR="00A004BD" w:rsidRDefault="00A004BD">
            <w:pPr>
              <w:pStyle w:val="Antrat2"/>
              <w:numPr>
                <w:ilvl w:val="0"/>
                <w:numId w:val="0"/>
              </w:numPr>
              <w:spacing w:before="0" w:after="0"/>
            </w:pPr>
            <w:r>
              <w:rPr>
                <w:rFonts w:ascii="Times New Roman" w:hAnsi="Times New Roman" w:cs="Times New Roman"/>
                <w:b w:val="0"/>
                <w:i w:val="0"/>
                <w:color w:val="000000"/>
                <w:spacing w:val="-1"/>
                <w:w w:val="103"/>
                <w:sz w:val="24"/>
                <w:szCs w:val="24"/>
              </w:rPr>
              <w:t>Sumos turi sutapti</w:t>
            </w:r>
          </w:p>
        </w:tc>
      </w:tr>
      <w:tr w:rsidR="00A004BD">
        <w:tc>
          <w:tcPr>
            <w:tcW w:w="674" w:type="dxa"/>
            <w:tcBorders>
              <w:top w:val="single" w:sz="4" w:space="0" w:color="000000"/>
              <w:left w:val="single" w:sz="4" w:space="0" w:color="000000"/>
              <w:bottom w:val="single" w:sz="4" w:space="0" w:color="000000"/>
            </w:tcBorders>
            <w:shd w:val="clear" w:color="auto" w:fill="auto"/>
          </w:tcPr>
          <w:p w:rsidR="00A004BD" w:rsidRDefault="00A004BD">
            <w:pPr>
              <w:widowControl w:val="0"/>
              <w:shd w:val="clear" w:color="auto" w:fill="FFFFFF"/>
              <w:tabs>
                <w:tab w:val="left" w:pos="1980"/>
              </w:tabs>
              <w:autoSpaceDE w:val="0"/>
              <w:rPr>
                <w:rFonts w:cs="Times New Roman"/>
                <w:b/>
                <w:szCs w:val="24"/>
              </w:rPr>
            </w:pPr>
            <w:r>
              <w:rPr>
                <w:b/>
                <w:szCs w:val="24"/>
              </w:rPr>
              <w:t>C</w:t>
            </w:r>
          </w:p>
        </w:tc>
        <w:tc>
          <w:tcPr>
            <w:tcW w:w="8223" w:type="dxa"/>
            <w:gridSpan w:val="2"/>
            <w:tcBorders>
              <w:top w:val="single" w:sz="4" w:space="0" w:color="000000"/>
              <w:left w:val="single" w:sz="4" w:space="0" w:color="000000"/>
              <w:bottom w:val="single" w:sz="4" w:space="0" w:color="000000"/>
            </w:tcBorders>
            <w:shd w:val="clear" w:color="auto" w:fill="auto"/>
          </w:tcPr>
          <w:p w:rsidR="00A004BD" w:rsidRDefault="00A004BD">
            <w:pPr>
              <w:widowControl w:val="0"/>
              <w:shd w:val="clear" w:color="auto" w:fill="FFFFFF"/>
              <w:tabs>
                <w:tab w:val="left" w:pos="1980"/>
              </w:tabs>
              <w:autoSpaceDE w:val="0"/>
              <w:rPr>
                <w:rFonts w:cs="Times New Roman"/>
                <w:color w:val="000000"/>
                <w:spacing w:val="-1"/>
                <w:w w:val="103"/>
                <w:szCs w:val="24"/>
              </w:rPr>
            </w:pPr>
            <w:r>
              <w:rPr>
                <w:rFonts w:cs="Times New Roman"/>
                <w:b/>
                <w:szCs w:val="24"/>
              </w:rPr>
              <w:t>Trumpalaikis turtas</w:t>
            </w:r>
          </w:p>
        </w:tc>
        <w:tc>
          <w:tcPr>
            <w:tcW w:w="1667" w:type="dxa"/>
            <w:tcBorders>
              <w:top w:val="single" w:sz="4" w:space="0" w:color="000000"/>
              <w:left w:val="single" w:sz="4" w:space="0" w:color="000000"/>
              <w:bottom w:val="single" w:sz="4" w:space="0" w:color="000000"/>
              <w:right w:val="single" w:sz="4" w:space="0" w:color="000000"/>
            </w:tcBorders>
            <w:shd w:val="clear" w:color="auto" w:fill="auto"/>
          </w:tcPr>
          <w:p w:rsidR="00A004BD" w:rsidRDefault="00A004BD">
            <w:pPr>
              <w:pStyle w:val="Antrat2"/>
              <w:numPr>
                <w:ilvl w:val="0"/>
                <w:numId w:val="0"/>
              </w:numPr>
              <w:snapToGrid w:val="0"/>
              <w:spacing w:before="0" w:after="0"/>
              <w:rPr>
                <w:rFonts w:ascii="Times New Roman" w:hAnsi="Times New Roman" w:cs="Times New Roman"/>
                <w:b w:val="0"/>
                <w:i w:val="0"/>
                <w:color w:val="000000"/>
                <w:spacing w:val="-1"/>
                <w:w w:val="103"/>
                <w:sz w:val="24"/>
                <w:szCs w:val="24"/>
              </w:rPr>
            </w:pPr>
          </w:p>
        </w:tc>
      </w:tr>
      <w:tr w:rsidR="00A004BD">
        <w:tc>
          <w:tcPr>
            <w:tcW w:w="674" w:type="dxa"/>
            <w:tcBorders>
              <w:top w:val="single" w:sz="4" w:space="0" w:color="000000"/>
              <w:left w:val="single" w:sz="4" w:space="0" w:color="000000"/>
              <w:bottom w:val="single" w:sz="4" w:space="0" w:color="000000"/>
            </w:tcBorders>
            <w:shd w:val="clear" w:color="auto" w:fill="auto"/>
          </w:tcPr>
          <w:p w:rsidR="00A004BD" w:rsidRDefault="00A004BD">
            <w:pPr>
              <w:widowControl w:val="0"/>
              <w:shd w:val="clear" w:color="auto" w:fill="FFFFFF"/>
              <w:tabs>
                <w:tab w:val="left" w:pos="1980"/>
              </w:tabs>
              <w:autoSpaceDE w:val="0"/>
              <w:rPr>
                <w:rFonts w:cs="Times New Roman"/>
                <w:szCs w:val="24"/>
              </w:rPr>
            </w:pPr>
            <w:r>
              <w:rPr>
                <w:szCs w:val="24"/>
              </w:rPr>
              <w:t>I.</w:t>
            </w:r>
          </w:p>
        </w:tc>
        <w:tc>
          <w:tcPr>
            <w:tcW w:w="2128" w:type="dxa"/>
            <w:tcBorders>
              <w:top w:val="single" w:sz="4" w:space="0" w:color="000000"/>
              <w:left w:val="single" w:sz="4" w:space="0" w:color="000000"/>
              <w:bottom w:val="single" w:sz="4" w:space="0" w:color="000000"/>
            </w:tcBorders>
            <w:shd w:val="clear" w:color="auto" w:fill="auto"/>
          </w:tcPr>
          <w:p w:rsidR="00A004BD" w:rsidRDefault="00A004BD">
            <w:pPr>
              <w:pStyle w:val="Antrat2"/>
              <w:numPr>
                <w:ilvl w:val="0"/>
                <w:numId w:val="0"/>
              </w:numPr>
              <w:spacing w:before="0" w:after="0"/>
              <w:rPr>
                <w:rFonts w:cs="Times New Roman"/>
                <w:szCs w:val="24"/>
              </w:rPr>
            </w:pPr>
            <w:r>
              <w:rPr>
                <w:rFonts w:ascii="Times New Roman" w:hAnsi="Times New Roman" w:cs="Times New Roman"/>
                <w:b w:val="0"/>
                <w:i w:val="0"/>
                <w:sz w:val="24"/>
                <w:szCs w:val="24"/>
              </w:rPr>
              <w:t>Atsargos</w:t>
            </w:r>
          </w:p>
        </w:tc>
        <w:tc>
          <w:tcPr>
            <w:tcW w:w="6095" w:type="dxa"/>
            <w:tcBorders>
              <w:top w:val="single" w:sz="4" w:space="0" w:color="000000"/>
              <w:left w:val="single" w:sz="4" w:space="0" w:color="000000"/>
              <w:bottom w:val="single" w:sz="4" w:space="0" w:color="000000"/>
            </w:tcBorders>
            <w:shd w:val="clear" w:color="auto" w:fill="auto"/>
          </w:tcPr>
          <w:p w:rsidR="00A004BD" w:rsidRDefault="00A004BD">
            <w:pPr>
              <w:widowControl w:val="0"/>
              <w:shd w:val="clear" w:color="auto" w:fill="FFFFFF"/>
              <w:tabs>
                <w:tab w:val="left" w:pos="1980"/>
              </w:tabs>
              <w:autoSpaceDE w:val="0"/>
              <w:rPr>
                <w:rFonts w:cs="Times New Roman"/>
                <w:color w:val="000000"/>
                <w:spacing w:val="-1"/>
                <w:w w:val="103"/>
                <w:szCs w:val="24"/>
              </w:rPr>
            </w:pPr>
            <w:r>
              <w:rPr>
                <w:rFonts w:cs="Times New Roman"/>
                <w:szCs w:val="24"/>
              </w:rPr>
              <w:t>Aiškinamojo rašto lentelės „Atsargų vertės pasikeitimas per ataskaitinį laikotarpį“ eilutės „13. Atsargų balansinė vertė ataskaitinio laikotarpio pabaigoje“ stulpelio „10. Iš viso“ sumai.</w:t>
            </w:r>
          </w:p>
        </w:tc>
        <w:tc>
          <w:tcPr>
            <w:tcW w:w="1667" w:type="dxa"/>
            <w:tcBorders>
              <w:top w:val="single" w:sz="4" w:space="0" w:color="000000"/>
              <w:left w:val="single" w:sz="4" w:space="0" w:color="000000"/>
              <w:bottom w:val="single" w:sz="4" w:space="0" w:color="000000"/>
              <w:right w:val="single" w:sz="4" w:space="0" w:color="000000"/>
            </w:tcBorders>
            <w:shd w:val="clear" w:color="auto" w:fill="auto"/>
          </w:tcPr>
          <w:p w:rsidR="00A004BD" w:rsidRDefault="00A004BD">
            <w:pPr>
              <w:pStyle w:val="Antrat2"/>
              <w:numPr>
                <w:ilvl w:val="0"/>
                <w:numId w:val="0"/>
              </w:numPr>
              <w:spacing w:before="0" w:after="0"/>
            </w:pPr>
            <w:r>
              <w:rPr>
                <w:rFonts w:ascii="Times New Roman" w:hAnsi="Times New Roman" w:cs="Times New Roman"/>
                <w:b w:val="0"/>
                <w:i w:val="0"/>
                <w:color w:val="000000"/>
                <w:spacing w:val="-1"/>
                <w:w w:val="103"/>
                <w:sz w:val="24"/>
                <w:szCs w:val="24"/>
              </w:rPr>
              <w:t>Sumos turi sutapti</w:t>
            </w:r>
          </w:p>
        </w:tc>
      </w:tr>
      <w:tr w:rsidR="00A004BD">
        <w:tc>
          <w:tcPr>
            <w:tcW w:w="674" w:type="dxa"/>
            <w:tcBorders>
              <w:top w:val="single" w:sz="4" w:space="0" w:color="000000"/>
              <w:left w:val="single" w:sz="4" w:space="0" w:color="000000"/>
              <w:bottom w:val="single" w:sz="4" w:space="0" w:color="000000"/>
            </w:tcBorders>
            <w:shd w:val="clear" w:color="auto" w:fill="auto"/>
          </w:tcPr>
          <w:p w:rsidR="00A004BD" w:rsidRDefault="00A004BD">
            <w:pPr>
              <w:widowControl w:val="0"/>
              <w:shd w:val="clear" w:color="auto" w:fill="FFFFFF"/>
              <w:tabs>
                <w:tab w:val="left" w:pos="1980"/>
              </w:tabs>
              <w:autoSpaceDE w:val="0"/>
              <w:rPr>
                <w:rFonts w:cs="Times New Roman"/>
                <w:szCs w:val="24"/>
              </w:rPr>
            </w:pPr>
            <w:r>
              <w:rPr>
                <w:szCs w:val="24"/>
              </w:rPr>
              <w:t>II.</w:t>
            </w:r>
          </w:p>
        </w:tc>
        <w:tc>
          <w:tcPr>
            <w:tcW w:w="2128" w:type="dxa"/>
            <w:tcBorders>
              <w:top w:val="single" w:sz="4" w:space="0" w:color="000000"/>
              <w:left w:val="single" w:sz="4" w:space="0" w:color="000000"/>
              <w:bottom w:val="single" w:sz="4" w:space="0" w:color="000000"/>
            </w:tcBorders>
            <w:shd w:val="clear" w:color="auto" w:fill="auto"/>
          </w:tcPr>
          <w:p w:rsidR="00A004BD" w:rsidRDefault="00A004BD">
            <w:pPr>
              <w:pStyle w:val="Antrat2"/>
              <w:numPr>
                <w:ilvl w:val="0"/>
                <w:numId w:val="0"/>
              </w:numPr>
              <w:spacing w:before="0" w:after="0"/>
              <w:rPr>
                <w:rFonts w:cs="Times New Roman"/>
                <w:szCs w:val="24"/>
              </w:rPr>
            </w:pPr>
            <w:r>
              <w:rPr>
                <w:rFonts w:ascii="Times New Roman" w:hAnsi="Times New Roman" w:cs="Times New Roman"/>
                <w:b w:val="0"/>
                <w:i w:val="0"/>
                <w:sz w:val="24"/>
                <w:szCs w:val="24"/>
              </w:rPr>
              <w:t>Išankstiniai apmokėjimai</w:t>
            </w:r>
          </w:p>
        </w:tc>
        <w:tc>
          <w:tcPr>
            <w:tcW w:w="6095" w:type="dxa"/>
            <w:tcBorders>
              <w:top w:val="single" w:sz="4" w:space="0" w:color="000000"/>
              <w:left w:val="single" w:sz="4" w:space="0" w:color="000000"/>
              <w:bottom w:val="single" w:sz="4" w:space="0" w:color="000000"/>
            </w:tcBorders>
            <w:shd w:val="clear" w:color="auto" w:fill="auto"/>
          </w:tcPr>
          <w:p w:rsidR="00A004BD" w:rsidRDefault="00A004BD">
            <w:pPr>
              <w:widowControl w:val="0"/>
              <w:shd w:val="clear" w:color="auto" w:fill="FFFFFF"/>
              <w:tabs>
                <w:tab w:val="left" w:pos="1980"/>
              </w:tabs>
              <w:autoSpaceDE w:val="0"/>
              <w:rPr>
                <w:rFonts w:cs="Times New Roman"/>
                <w:color w:val="000000"/>
                <w:spacing w:val="-1"/>
                <w:w w:val="103"/>
                <w:szCs w:val="24"/>
              </w:rPr>
            </w:pPr>
            <w:r>
              <w:rPr>
                <w:rFonts w:cs="Times New Roman"/>
                <w:szCs w:val="24"/>
              </w:rPr>
              <w:t xml:space="preserve">Aiškinamojo rašto lentelės „Informacija apie išankstinius apmokėjimus“ eilutės „3. A Išankstinių apmokėjimų </w:t>
            </w:r>
            <w:r>
              <w:rPr>
                <w:rFonts w:cs="Times New Roman"/>
                <w:szCs w:val="24"/>
              </w:rPr>
              <w:lastRenderedPageBreak/>
              <w:t xml:space="preserve">balansinė vertė“ stulpelio „3. Ataskaitinio laikotarpio paskutinė diena“ suma.  </w:t>
            </w:r>
          </w:p>
        </w:tc>
        <w:tc>
          <w:tcPr>
            <w:tcW w:w="1667" w:type="dxa"/>
            <w:tcBorders>
              <w:top w:val="single" w:sz="4" w:space="0" w:color="000000"/>
              <w:left w:val="single" w:sz="4" w:space="0" w:color="000000"/>
              <w:bottom w:val="single" w:sz="4" w:space="0" w:color="000000"/>
              <w:right w:val="single" w:sz="4" w:space="0" w:color="000000"/>
            </w:tcBorders>
            <w:shd w:val="clear" w:color="auto" w:fill="auto"/>
          </w:tcPr>
          <w:p w:rsidR="00A004BD" w:rsidRDefault="00A004BD">
            <w:pPr>
              <w:pStyle w:val="Antrat2"/>
              <w:numPr>
                <w:ilvl w:val="0"/>
                <w:numId w:val="0"/>
              </w:numPr>
              <w:spacing w:before="0" w:after="0"/>
            </w:pPr>
            <w:r>
              <w:rPr>
                <w:rFonts w:ascii="Times New Roman" w:hAnsi="Times New Roman" w:cs="Times New Roman"/>
                <w:b w:val="0"/>
                <w:i w:val="0"/>
                <w:color w:val="000000"/>
                <w:spacing w:val="-1"/>
                <w:w w:val="103"/>
                <w:sz w:val="24"/>
                <w:szCs w:val="24"/>
              </w:rPr>
              <w:lastRenderedPageBreak/>
              <w:t>Sumos turi sutapti</w:t>
            </w:r>
          </w:p>
        </w:tc>
      </w:tr>
      <w:tr w:rsidR="00A004BD">
        <w:tc>
          <w:tcPr>
            <w:tcW w:w="674" w:type="dxa"/>
            <w:tcBorders>
              <w:top w:val="single" w:sz="4" w:space="0" w:color="000000"/>
              <w:left w:val="single" w:sz="4" w:space="0" w:color="000000"/>
              <w:bottom w:val="single" w:sz="4" w:space="0" w:color="000000"/>
            </w:tcBorders>
            <w:shd w:val="clear" w:color="auto" w:fill="auto"/>
          </w:tcPr>
          <w:p w:rsidR="00A004BD" w:rsidRDefault="00A004BD">
            <w:pPr>
              <w:rPr>
                <w:rFonts w:cs="Times New Roman"/>
                <w:szCs w:val="24"/>
              </w:rPr>
            </w:pPr>
            <w:r>
              <w:rPr>
                <w:szCs w:val="24"/>
              </w:rPr>
              <w:lastRenderedPageBreak/>
              <w:t>II</w:t>
            </w:r>
          </w:p>
        </w:tc>
        <w:tc>
          <w:tcPr>
            <w:tcW w:w="2128" w:type="dxa"/>
            <w:tcBorders>
              <w:top w:val="single" w:sz="4" w:space="0" w:color="000000"/>
              <w:left w:val="single" w:sz="4" w:space="0" w:color="000000"/>
              <w:bottom w:val="single" w:sz="4" w:space="0" w:color="000000"/>
            </w:tcBorders>
            <w:shd w:val="clear" w:color="auto" w:fill="auto"/>
          </w:tcPr>
          <w:p w:rsidR="00A004BD" w:rsidRDefault="00A004BD">
            <w:pPr>
              <w:pStyle w:val="Antrat2"/>
              <w:numPr>
                <w:ilvl w:val="0"/>
                <w:numId w:val="0"/>
              </w:numPr>
              <w:spacing w:before="0" w:after="0"/>
              <w:rPr>
                <w:szCs w:val="24"/>
              </w:rPr>
            </w:pPr>
            <w:r>
              <w:rPr>
                <w:rFonts w:ascii="Times New Roman" w:hAnsi="Times New Roman" w:cs="Times New Roman"/>
                <w:b w:val="0"/>
                <w:bCs w:val="0"/>
                <w:i w:val="0"/>
                <w:iCs w:val="0"/>
                <w:sz w:val="24"/>
                <w:szCs w:val="24"/>
              </w:rPr>
              <w:t>Išankstiniai apmokėjimai</w:t>
            </w:r>
          </w:p>
        </w:tc>
        <w:tc>
          <w:tcPr>
            <w:tcW w:w="6095" w:type="dxa"/>
            <w:tcBorders>
              <w:top w:val="single" w:sz="4" w:space="0" w:color="000000"/>
              <w:left w:val="single" w:sz="4" w:space="0" w:color="000000"/>
              <w:bottom w:val="single" w:sz="4" w:space="0" w:color="000000"/>
            </w:tcBorders>
            <w:shd w:val="clear" w:color="auto" w:fill="auto"/>
          </w:tcPr>
          <w:p w:rsidR="00A004BD" w:rsidRDefault="00A004BD">
            <w:pPr>
              <w:rPr>
                <w:rFonts w:cs="Times New Roman"/>
                <w:szCs w:val="24"/>
              </w:rPr>
            </w:pPr>
            <w:r>
              <w:rPr>
                <w:szCs w:val="24"/>
              </w:rPr>
              <w:t xml:space="preserve">Aiškinamojo rašto lentelės „Informacija apie pinigus ir pinigų ekvivalentus“ eilutės „Iš viso pinigų ir pinigų ekvivalentų“ stulpelio „3. Iš viso“ sumai.  </w:t>
            </w:r>
          </w:p>
        </w:tc>
        <w:tc>
          <w:tcPr>
            <w:tcW w:w="1667" w:type="dxa"/>
            <w:tcBorders>
              <w:top w:val="single" w:sz="4" w:space="0" w:color="000000"/>
              <w:left w:val="single" w:sz="4" w:space="0" w:color="000000"/>
              <w:bottom w:val="single" w:sz="4" w:space="0" w:color="000000"/>
              <w:right w:val="single" w:sz="4" w:space="0" w:color="000000"/>
            </w:tcBorders>
            <w:shd w:val="clear" w:color="auto" w:fill="auto"/>
          </w:tcPr>
          <w:p w:rsidR="00A004BD" w:rsidRDefault="00A004BD">
            <w:pPr>
              <w:pStyle w:val="Antrat2"/>
              <w:numPr>
                <w:ilvl w:val="0"/>
                <w:numId w:val="0"/>
              </w:numPr>
              <w:spacing w:before="0" w:after="0"/>
            </w:pPr>
            <w:r>
              <w:rPr>
                <w:rFonts w:ascii="Times New Roman" w:hAnsi="Times New Roman" w:cs="Times New Roman"/>
                <w:b w:val="0"/>
                <w:bCs w:val="0"/>
                <w:i w:val="0"/>
                <w:iCs w:val="0"/>
                <w:sz w:val="24"/>
                <w:szCs w:val="24"/>
              </w:rPr>
              <w:t>Sumos turi sutapti</w:t>
            </w:r>
          </w:p>
        </w:tc>
      </w:tr>
      <w:tr w:rsidR="00A004BD">
        <w:tc>
          <w:tcPr>
            <w:tcW w:w="674" w:type="dxa"/>
            <w:tcBorders>
              <w:top w:val="single" w:sz="4" w:space="0" w:color="000000"/>
              <w:left w:val="single" w:sz="4" w:space="0" w:color="000000"/>
              <w:bottom w:val="single" w:sz="4" w:space="0" w:color="000000"/>
            </w:tcBorders>
            <w:shd w:val="clear" w:color="auto" w:fill="auto"/>
          </w:tcPr>
          <w:p w:rsidR="00A004BD" w:rsidRDefault="00A004BD">
            <w:pPr>
              <w:rPr>
                <w:b/>
                <w:szCs w:val="24"/>
              </w:rPr>
            </w:pPr>
            <w:r>
              <w:rPr>
                <w:b/>
                <w:szCs w:val="24"/>
              </w:rPr>
              <w:t>D</w:t>
            </w:r>
          </w:p>
        </w:tc>
        <w:tc>
          <w:tcPr>
            <w:tcW w:w="8223" w:type="dxa"/>
            <w:gridSpan w:val="2"/>
            <w:tcBorders>
              <w:top w:val="single" w:sz="4" w:space="0" w:color="000000"/>
              <w:left w:val="single" w:sz="4" w:space="0" w:color="000000"/>
              <w:bottom w:val="single" w:sz="4" w:space="0" w:color="000000"/>
            </w:tcBorders>
            <w:shd w:val="clear" w:color="auto" w:fill="auto"/>
          </w:tcPr>
          <w:p w:rsidR="00A004BD" w:rsidRDefault="00A004BD">
            <w:pPr>
              <w:tabs>
                <w:tab w:val="left" w:pos="34"/>
              </w:tabs>
              <w:rPr>
                <w:rFonts w:cs="Times New Roman"/>
                <w:szCs w:val="24"/>
              </w:rPr>
            </w:pPr>
            <w:r>
              <w:rPr>
                <w:b/>
                <w:szCs w:val="24"/>
              </w:rPr>
              <w:t>Finansavimo sumos</w:t>
            </w:r>
          </w:p>
        </w:tc>
        <w:tc>
          <w:tcPr>
            <w:tcW w:w="1667" w:type="dxa"/>
            <w:tcBorders>
              <w:top w:val="single" w:sz="4" w:space="0" w:color="000000"/>
              <w:left w:val="single" w:sz="4" w:space="0" w:color="000000"/>
              <w:bottom w:val="single" w:sz="4" w:space="0" w:color="000000"/>
              <w:right w:val="single" w:sz="4" w:space="0" w:color="000000"/>
            </w:tcBorders>
            <w:shd w:val="clear" w:color="auto" w:fill="auto"/>
          </w:tcPr>
          <w:p w:rsidR="00A004BD" w:rsidRDefault="00A004BD">
            <w:pPr>
              <w:pStyle w:val="Antrat2"/>
              <w:numPr>
                <w:ilvl w:val="0"/>
                <w:numId w:val="0"/>
              </w:numPr>
              <w:snapToGrid w:val="0"/>
              <w:spacing w:before="0" w:after="0"/>
              <w:rPr>
                <w:rFonts w:ascii="Times New Roman" w:hAnsi="Times New Roman" w:cs="Times New Roman"/>
                <w:b w:val="0"/>
                <w:bCs w:val="0"/>
                <w:i w:val="0"/>
                <w:iCs w:val="0"/>
                <w:sz w:val="24"/>
                <w:szCs w:val="24"/>
              </w:rPr>
            </w:pPr>
          </w:p>
        </w:tc>
      </w:tr>
      <w:tr w:rsidR="00A004BD">
        <w:tc>
          <w:tcPr>
            <w:tcW w:w="674" w:type="dxa"/>
            <w:tcBorders>
              <w:top w:val="single" w:sz="4" w:space="0" w:color="000000"/>
              <w:left w:val="single" w:sz="4" w:space="0" w:color="000000"/>
              <w:bottom w:val="single" w:sz="4" w:space="0" w:color="000000"/>
            </w:tcBorders>
            <w:shd w:val="clear" w:color="auto" w:fill="auto"/>
          </w:tcPr>
          <w:p w:rsidR="00A004BD" w:rsidRDefault="00A004BD">
            <w:pPr>
              <w:rPr>
                <w:rFonts w:cs="Times New Roman"/>
                <w:szCs w:val="24"/>
              </w:rPr>
            </w:pPr>
            <w:r>
              <w:rPr>
                <w:szCs w:val="24"/>
              </w:rPr>
              <w:t>I.</w:t>
            </w:r>
          </w:p>
        </w:tc>
        <w:tc>
          <w:tcPr>
            <w:tcW w:w="2128" w:type="dxa"/>
            <w:tcBorders>
              <w:top w:val="single" w:sz="4" w:space="0" w:color="000000"/>
              <w:left w:val="single" w:sz="4" w:space="0" w:color="000000"/>
              <w:bottom w:val="single" w:sz="4" w:space="0" w:color="000000"/>
            </w:tcBorders>
            <w:shd w:val="clear" w:color="auto" w:fill="auto"/>
          </w:tcPr>
          <w:p w:rsidR="00A004BD" w:rsidRDefault="00A004BD">
            <w:pPr>
              <w:pStyle w:val="Antrat2"/>
              <w:numPr>
                <w:ilvl w:val="0"/>
                <w:numId w:val="0"/>
              </w:numPr>
              <w:spacing w:before="0" w:after="0"/>
              <w:rPr>
                <w:szCs w:val="24"/>
              </w:rPr>
            </w:pPr>
            <w:r>
              <w:rPr>
                <w:rFonts w:ascii="Times New Roman" w:hAnsi="Times New Roman" w:cs="Times New Roman"/>
                <w:b w:val="0"/>
                <w:bCs w:val="0"/>
                <w:i w:val="0"/>
                <w:iCs w:val="0"/>
                <w:sz w:val="24"/>
                <w:szCs w:val="24"/>
              </w:rPr>
              <w:t>Iš valstybės biudžeto</w:t>
            </w:r>
          </w:p>
        </w:tc>
        <w:tc>
          <w:tcPr>
            <w:tcW w:w="6095" w:type="dxa"/>
            <w:tcBorders>
              <w:top w:val="single" w:sz="4" w:space="0" w:color="000000"/>
              <w:left w:val="single" w:sz="4" w:space="0" w:color="000000"/>
              <w:bottom w:val="single" w:sz="4" w:space="0" w:color="000000"/>
            </w:tcBorders>
            <w:shd w:val="clear" w:color="auto" w:fill="auto"/>
          </w:tcPr>
          <w:p w:rsidR="00A004BD" w:rsidRDefault="00A004BD">
            <w:pPr>
              <w:tabs>
                <w:tab w:val="left" w:pos="34"/>
              </w:tabs>
              <w:rPr>
                <w:rFonts w:cs="Times New Roman"/>
                <w:szCs w:val="24"/>
              </w:rPr>
            </w:pPr>
            <w:r>
              <w:rPr>
                <w:szCs w:val="24"/>
              </w:rPr>
              <w:t>Aiškinamojo rašto lentelės „Finansavimo sumos pagal šaltinį, tikslinę paskirtį ir jų pokyčiai per ataskaitinį laikotarpį“ eilutės „1. Iš valstybės biudžeto (išskyrus valstybės asignavimams priklausančią finansavimo sumų, gautų/ gautinų iš Europos Sąjungos, užsienio valstybių ir tarptautinių organizacijų, dalį)“ stulpelio „11. Finansavimo sumų likutis ataskaitinio laikotarpio pabaigoje“ suma ir aiškinamojo rašto lentelės „Finansavimo sumų likučiai“ eilutės „1. Iš valstybės biudžeto (išskyrus valstybės biudžeto asignavimams priklausančią finansavimo sumų iš Europos Sąjungos, užsienio valstybių ir tarptautinių organizacijų dalį)“ stulpelio „8. Iš viso“ suma.</w:t>
            </w:r>
          </w:p>
        </w:tc>
        <w:tc>
          <w:tcPr>
            <w:tcW w:w="1667" w:type="dxa"/>
            <w:tcBorders>
              <w:top w:val="single" w:sz="4" w:space="0" w:color="000000"/>
              <w:left w:val="single" w:sz="4" w:space="0" w:color="000000"/>
              <w:bottom w:val="single" w:sz="4" w:space="0" w:color="000000"/>
              <w:right w:val="single" w:sz="4" w:space="0" w:color="000000"/>
            </w:tcBorders>
            <w:shd w:val="clear" w:color="auto" w:fill="auto"/>
          </w:tcPr>
          <w:p w:rsidR="00A004BD" w:rsidRDefault="00A004BD">
            <w:pPr>
              <w:pStyle w:val="Antrat2"/>
              <w:numPr>
                <w:ilvl w:val="0"/>
                <w:numId w:val="0"/>
              </w:numPr>
              <w:spacing w:before="0" w:after="0"/>
            </w:pPr>
            <w:r>
              <w:rPr>
                <w:rFonts w:ascii="Times New Roman" w:hAnsi="Times New Roman" w:cs="Times New Roman"/>
                <w:b w:val="0"/>
                <w:bCs w:val="0"/>
                <w:i w:val="0"/>
                <w:iCs w:val="0"/>
                <w:sz w:val="24"/>
                <w:szCs w:val="24"/>
              </w:rPr>
              <w:t>Sumos turi sutapti</w:t>
            </w:r>
          </w:p>
        </w:tc>
      </w:tr>
      <w:tr w:rsidR="00A004BD">
        <w:tc>
          <w:tcPr>
            <w:tcW w:w="674" w:type="dxa"/>
            <w:tcBorders>
              <w:top w:val="single" w:sz="4" w:space="0" w:color="000000"/>
              <w:left w:val="single" w:sz="4" w:space="0" w:color="000000"/>
              <w:bottom w:val="single" w:sz="4" w:space="0" w:color="000000"/>
            </w:tcBorders>
            <w:shd w:val="clear" w:color="auto" w:fill="auto"/>
          </w:tcPr>
          <w:p w:rsidR="00A004BD" w:rsidRDefault="00A004BD">
            <w:pPr>
              <w:rPr>
                <w:rFonts w:cs="Times New Roman"/>
                <w:szCs w:val="24"/>
              </w:rPr>
            </w:pPr>
            <w:r>
              <w:rPr>
                <w:szCs w:val="24"/>
              </w:rPr>
              <w:t>II.</w:t>
            </w:r>
          </w:p>
        </w:tc>
        <w:tc>
          <w:tcPr>
            <w:tcW w:w="2128" w:type="dxa"/>
            <w:tcBorders>
              <w:top w:val="single" w:sz="4" w:space="0" w:color="000000"/>
              <w:left w:val="single" w:sz="4" w:space="0" w:color="000000"/>
              <w:bottom w:val="single" w:sz="4" w:space="0" w:color="000000"/>
            </w:tcBorders>
            <w:shd w:val="clear" w:color="auto" w:fill="auto"/>
          </w:tcPr>
          <w:p w:rsidR="00A004BD" w:rsidRDefault="00A004BD">
            <w:pPr>
              <w:pStyle w:val="Antrat2"/>
              <w:numPr>
                <w:ilvl w:val="0"/>
                <w:numId w:val="0"/>
              </w:numPr>
              <w:spacing w:before="0" w:after="0"/>
              <w:rPr>
                <w:szCs w:val="24"/>
              </w:rPr>
            </w:pPr>
            <w:r>
              <w:rPr>
                <w:rFonts w:ascii="Times New Roman" w:hAnsi="Times New Roman" w:cs="Times New Roman"/>
                <w:b w:val="0"/>
                <w:bCs w:val="0"/>
                <w:i w:val="0"/>
                <w:iCs w:val="0"/>
                <w:sz w:val="24"/>
                <w:szCs w:val="24"/>
              </w:rPr>
              <w:t>Iš savivaldybės biudžeto</w:t>
            </w:r>
          </w:p>
        </w:tc>
        <w:tc>
          <w:tcPr>
            <w:tcW w:w="6095" w:type="dxa"/>
            <w:tcBorders>
              <w:top w:val="single" w:sz="4" w:space="0" w:color="000000"/>
              <w:left w:val="single" w:sz="4" w:space="0" w:color="000000"/>
              <w:bottom w:val="single" w:sz="4" w:space="0" w:color="000000"/>
            </w:tcBorders>
            <w:shd w:val="clear" w:color="auto" w:fill="auto"/>
          </w:tcPr>
          <w:p w:rsidR="00A004BD" w:rsidRDefault="00A004BD">
            <w:pPr>
              <w:tabs>
                <w:tab w:val="left" w:pos="34"/>
              </w:tabs>
              <w:rPr>
                <w:rFonts w:cs="Times New Roman"/>
                <w:szCs w:val="24"/>
              </w:rPr>
            </w:pPr>
            <w:r>
              <w:rPr>
                <w:szCs w:val="24"/>
              </w:rPr>
              <w:t>Aiškinamojo rašto lentelės „Finansavimo sumos pagal šaltinį, tikslinę paskirtį ir jų pokyčiai per ataskaitinį laikotarpį“ eilutės „2. Iš savivaldybės biudžeto“ stulpelio „11. Finansavimo sumų likutis ataskaitinio laikotarpio pabaigoje“ sumai ir aiškinamojo rašto lentelės „Finansavimo sumų likučiai“ eilutės „2. Iš savivaldybės biudžeto“ stulpelio „8. Iš viso“ suma.</w:t>
            </w:r>
          </w:p>
        </w:tc>
        <w:tc>
          <w:tcPr>
            <w:tcW w:w="1667" w:type="dxa"/>
            <w:tcBorders>
              <w:top w:val="single" w:sz="4" w:space="0" w:color="000000"/>
              <w:left w:val="single" w:sz="4" w:space="0" w:color="000000"/>
              <w:bottom w:val="single" w:sz="4" w:space="0" w:color="000000"/>
              <w:right w:val="single" w:sz="4" w:space="0" w:color="000000"/>
            </w:tcBorders>
            <w:shd w:val="clear" w:color="auto" w:fill="auto"/>
          </w:tcPr>
          <w:p w:rsidR="00A004BD" w:rsidRDefault="00A004BD">
            <w:pPr>
              <w:pStyle w:val="Antrat2"/>
              <w:numPr>
                <w:ilvl w:val="0"/>
                <w:numId w:val="0"/>
              </w:numPr>
              <w:spacing w:before="0" w:after="0"/>
            </w:pPr>
            <w:r>
              <w:rPr>
                <w:rFonts w:ascii="Times New Roman" w:hAnsi="Times New Roman" w:cs="Times New Roman"/>
                <w:b w:val="0"/>
                <w:bCs w:val="0"/>
                <w:i w:val="0"/>
                <w:iCs w:val="0"/>
                <w:sz w:val="24"/>
                <w:szCs w:val="24"/>
              </w:rPr>
              <w:t>Sumos turi sutapti</w:t>
            </w:r>
          </w:p>
        </w:tc>
      </w:tr>
      <w:tr w:rsidR="00A004BD">
        <w:tc>
          <w:tcPr>
            <w:tcW w:w="674" w:type="dxa"/>
            <w:tcBorders>
              <w:top w:val="single" w:sz="4" w:space="0" w:color="000000"/>
              <w:left w:val="single" w:sz="4" w:space="0" w:color="000000"/>
              <w:bottom w:val="single" w:sz="4" w:space="0" w:color="000000"/>
            </w:tcBorders>
            <w:shd w:val="clear" w:color="auto" w:fill="auto"/>
          </w:tcPr>
          <w:p w:rsidR="00A004BD" w:rsidRDefault="00A004BD">
            <w:pPr>
              <w:rPr>
                <w:rFonts w:cs="Times New Roman"/>
                <w:szCs w:val="24"/>
              </w:rPr>
            </w:pPr>
            <w:r>
              <w:rPr>
                <w:szCs w:val="24"/>
              </w:rPr>
              <w:t>III.</w:t>
            </w:r>
          </w:p>
        </w:tc>
        <w:tc>
          <w:tcPr>
            <w:tcW w:w="2128" w:type="dxa"/>
            <w:tcBorders>
              <w:top w:val="single" w:sz="4" w:space="0" w:color="000000"/>
              <w:left w:val="single" w:sz="4" w:space="0" w:color="000000"/>
              <w:bottom w:val="single" w:sz="4" w:space="0" w:color="000000"/>
            </w:tcBorders>
            <w:shd w:val="clear" w:color="auto" w:fill="auto"/>
          </w:tcPr>
          <w:p w:rsidR="00A004BD" w:rsidRDefault="00A004BD">
            <w:pPr>
              <w:pStyle w:val="Antrat2"/>
              <w:numPr>
                <w:ilvl w:val="0"/>
                <w:numId w:val="0"/>
              </w:numPr>
              <w:spacing w:before="0" w:after="0"/>
              <w:rPr>
                <w:szCs w:val="24"/>
              </w:rPr>
            </w:pPr>
            <w:r>
              <w:rPr>
                <w:rFonts w:ascii="Times New Roman" w:hAnsi="Times New Roman" w:cs="Times New Roman"/>
                <w:b w:val="0"/>
                <w:bCs w:val="0"/>
                <w:i w:val="0"/>
                <w:iCs w:val="0"/>
                <w:sz w:val="24"/>
                <w:szCs w:val="24"/>
              </w:rPr>
              <w:t>Iš Europos Sąjungos, užsienio valstybių ir tarptautinių organizacijų</w:t>
            </w:r>
          </w:p>
        </w:tc>
        <w:tc>
          <w:tcPr>
            <w:tcW w:w="6095" w:type="dxa"/>
            <w:tcBorders>
              <w:top w:val="single" w:sz="4" w:space="0" w:color="000000"/>
              <w:left w:val="single" w:sz="4" w:space="0" w:color="000000"/>
              <w:bottom w:val="single" w:sz="4" w:space="0" w:color="000000"/>
            </w:tcBorders>
            <w:shd w:val="clear" w:color="auto" w:fill="auto"/>
          </w:tcPr>
          <w:p w:rsidR="00A004BD" w:rsidRDefault="00A004BD">
            <w:pPr>
              <w:tabs>
                <w:tab w:val="left" w:pos="34"/>
              </w:tabs>
              <w:rPr>
                <w:rFonts w:cs="Times New Roman"/>
                <w:szCs w:val="24"/>
              </w:rPr>
            </w:pPr>
            <w:r>
              <w:rPr>
                <w:szCs w:val="24"/>
              </w:rPr>
              <w:t>Aiškinamojo rašto lentelės „Finansavimo sumos pagal šaltinį, tikslinę paskirtį ir jų pokyčiai per ataskaitinį laikotarpį“ eilutės „3. Iš Europos Sąjungos, užsienio valstybių ir tarptautinių organizacijų“ stulpelio „11. Finansavimo sumų likutis ataskaitinio laikotarpio pabaigoje“ suma ir aiškinamojo rašto lentelės „Finansavimo sumų likučiai“ eilutės „3. Iš Europos Sąjungos, užsienio valstybių ir tarptautinių organizacijų“ stulpelio „8. Iš viso“ suma.</w:t>
            </w:r>
          </w:p>
        </w:tc>
        <w:tc>
          <w:tcPr>
            <w:tcW w:w="1667" w:type="dxa"/>
            <w:tcBorders>
              <w:top w:val="single" w:sz="4" w:space="0" w:color="000000"/>
              <w:left w:val="single" w:sz="4" w:space="0" w:color="000000"/>
              <w:bottom w:val="single" w:sz="4" w:space="0" w:color="000000"/>
              <w:right w:val="single" w:sz="4" w:space="0" w:color="000000"/>
            </w:tcBorders>
            <w:shd w:val="clear" w:color="auto" w:fill="auto"/>
          </w:tcPr>
          <w:p w:rsidR="00A004BD" w:rsidRDefault="00A004BD">
            <w:pPr>
              <w:pStyle w:val="Antrat2"/>
              <w:numPr>
                <w:ilvl w:val="0"/>
                <w:numId w:val="0"/>
              </w:numPr>
              <w:spacing w:before="0" w:after="0"/>
            </w:pPr>
            <w:r>
              <w:rPr>
                <w:rFonts w:ascii="Times New Roman" w:hAnsi="Times New Roman" w:cs="Times New Roman"/>
                <w:b w:val="0"/>
                <w:bCs w:val="0"/>
                <w:i w:val="0"/>
                <w:iCs w:val="0"/>
                <w:sz w:val="24"/>
                <w:szCs w:val="24"/>
              </w:rPr>
              <w:t>Sumos turi sutapti</w:t>
            </w:r>
          </w:p>
        </w:tc>
      </w:tr>
      <w:tr w:rsidR="00A004BD">
        <w:tc>
          <w:tcPr>
            <w:tcW w:w="674" w:type="dxa"/>
            <w:tcBorders>
              <w:top w:val="single" w:sz="4" w:space="0" w:color="000000"/>
              <w:left w:val="single" w:sz="4" w:space="0" w:color="000000"/>
              <w:bottom w:val="single" w:sz="4" w:space="0" w:color="000000"/>
            </w:tcBorders>
            <w:shd w:val="clear" w:color="auto" w:fill="auto"/>
          </w:tcPr>
          <w:p w:rsidR="00A004BD" w:rsidRDefault="00A004BD">
            <w:pPr>
              <w:rPr>
                <w:rFonts w:cs="Times New Roman"/>
                <w:szCs w:val="24"/>
              </w:rPr>
            </w:pPr>
            <w:r>
              <w:rPr>
                <w:szCs w:val="24"/>
              </w:rPr>
              <w:t>IV.</w:t>
            </w:r>
          </w:p>
        </w:tc>
        <w:tc>
          <w:tcPr>
            <w:tcW w:w="2128" w:type="dxa"/>
            <w:tcBorders>
              <w:top w:val="single" w:sz="4" w:space="0" w:color="000000"/>
              <w:left w:val="single" w:sz="4" w:space="0" w:color="000000"/>
              <w:bottom w:val="single" w:sz="4" w:space="0" w:color="000000"/>
            </w:tcBorders>
            <w:shd w:val="clear" w:color="auto" w:fill="auto"/>
          </w:tcPr>
          <w:p w:rsidR="00A004BD" w:rsidRDefault="00A004BD">
            <w:pPr>
              <w:pStyle w:val="Antrat2"/>
              <w:numPr>
                <w:ilvl w:val="0"/>
                <w:numId w:val="0"/>
              </w:numPr>
              <w:spacing w:before="0" w:after="0"/>
              <w:rPr>
                <w:szCs w:val="24"/>
              </w:rPr>
            </w:pPr>
            <w:r>
              <w:rPr>
                <w:rFonts w:ascii="Times New Roman" w:hAnsi="Times New Roman" w:cs="Times New Roman"/>
                <w:b w:val="0"/>
                <w:bCs w:val="0"/>
                <w:i w:val="0"/>
                <w:iCs w:val="0"/>
                <w:sz w:val="24"/>
                <w:szCs w:val="24"/>
              </w:rPr>
              <w:t>Iš kitų šaltinių</w:t>
            </w:r>
          </w:p>
        </w:tc>
        <w:tc>
          <w:tcPr>
            <w:tcW w:w="6095" w:type="dxa"/>
            <w:tcBorders>
              <w:top w:val="single" w:sz="4" w:space="0" w:color="000000"/>
              <w:left w:val="single" w:sz="4" w:space="0" w:color="000000"/>
              <w:bottom w:val="single" w:sz="4" w:space="0" w:color="000000"/>
            </w:tcBorders>
            <w:shd w:val="clear" w:color="auto" w:fill="auto"/>
          </w:tcPr>
          <w:p w:rsidR="00A004BD" w:rsidRDefault="00A004BD">
            <w:pPr>
              <w:tabs>
                <w:tab w:val="left" w:pos="34"/>
              </w:tabs>
              <w:rPr>
                <w:rFonts w:cs="Times New Roman"/>
                <w:szCs w:val="24"/>
              </w:rPr>
            </w:pPr>
            <w:r>
              <w:rPr>
                <w:szCs w:val="24"/>
              </w:rPr>
              <w:t>Aiškinamojo rašto lentelės „Finansavimo sumos pagal šaltinį, tikslinę paskirtį ir jų pokyčiai per ataskaitinį laikotarpį“ eilutės „4. Iš kitų šaltinių“ stulpelio „11. Finansavimo sumų likutis ataskaitinio laikotarpio pabaigoje“ suma ir aiškinamojo rašto lentelės „Finansavimo sumų likučiai“ eilutės „4. Iš kitų šaltinių“ stulpelio „8. Iš viso“ suma.</w:t>
            </w:r>
          </w:p>
        </w:tc>
        <w:tc>
          <w:tcPr>
            <w:tcW w:w="1667" w:type="dxa"/>
            <w:tcBorders>
              <w:top w:val="single" w:sz="4" w:space="0" w:color="000000"/>
              <w:left w:val="single" w:sz="4" w:space="0" w:color="000000"/>
              <w:bottom w:val="single" w:sz="4" w:space="0" w:color="000000"/>
              <w:right w:val="single" w:sz="4" w:space="0" w:color="000000"/>
            </w:tcBorders>
            <w:shd w:val="clear" w:color="auto" w:fill="auto"/>
          </w:tcPr>
          <w:p w:rsidR="00A004BD" w:rsidRDefault="00A004BD">
            <w:pPr>
              <w:pStyle w:val="Antrat2"/>
              <w:numPr>
                <w:ilvl w:val="0"/>
                <w:numId w:val="0"/>
              </w:numPr>
              <w:spacing w:before="0" w:after="0"/>
            </w:pPr>
            <w:r>
              <w:rPr>
                <w:rFonts w:ascii="Times New Roman" w:hAnsi="Times New Roman" w:cs="Times New Roman"/>
                <w:b w:val="0"/>
                <w:bCs w:val="0"/>
                <w:i w:val="0"/>
                <w:iCs w:val="0"/>
                <w:sz w:val="24"/>
                <w:szCs w:val="24"/>
              </w:rPr>
              <w:t>Sumos turi sutapti</w:t>
            </w:r>
          </w:p>
        </w:tc>
      </w:tr>
      <w:tr w:rsidR="00A004BD">
        <w:tc>
          <w:tcPr>
            <w:tcW w:w="674" w:type="dxa"/>
            <w:tcBorders>
              <w:top w:val="single" w:sz="4" w:space="0" w:color="000000"/>
              <w:left w:val="single" w:sz="4" w:space="0" w:color="000000"/>
              <w:bottom w:val="single" w:sz="4" w:space="0" w:color="000000"/>
            </w:tcBorders>
            <w:shd w:val="clear" w:color="auto" w:fill="auto"/>
          </w:tcPr>
          <w:p w:rsidR="00A004BD" w:rsidRDefault="00A004BD">
            <w:pPr>
              <w:widowControl w:val="0"/>
              <w:shd w:val="clear" w:color="auto" w:fill="FFFFFF"/>
              <w:tabs>
                <w:tab w:val="left" w:pos="1980"/>
              </w:tabs>
              <w:autoSpaceDE w:val="0"/>
              <w:rPr>
                <w:rFonts w:cs="Times New Roman"/>
                <w:b/>
                <w:szCs w:val="24"/>
              </w:rPr>
            </w:pPr>
            <w:r>
              <w:rPr>
                <w:b/>
                <w:szCs w:val="24"/>
              </w:rPr>
              <w:t>E</w:t>
            </w:r>
          </w:p>
        </w:tc>
        <w:tc>
          <w:tcPr>
            <w:tcW w:w="8223" w:type="dxa"/>
            <w:gridSpan w:val="2"/>
            <w:tcBorders>
              <w:top w:val="single" w:sz="4" w:space="0" w:color="000000"/>
              <w:left w:val="single" w:sz="4" w:space="0" w:color="000000"/>
              <w:bottom w:val="single" w:sz="4" w:space="0" w:color="000000"/>
            </w:tcBorders>
            <w:shd w:val="clear" w:color="auto" w:fill="auto"/>
          </w:tcPr>
          <w:p w:rsidR="00A004BD" w:rsidRDefault="00A004BD">
            <w:pPr>
              <w:widowControl w:val="0"/>
              <w:shd w:val="clear" w:color="auto" w:fill="FFFFFF"/>
              <w:tabs>
                <w:tab w:val="left" w:pos="34"/>
              </w:tabs>
              <w:autoSpaceDE w:val="0"/>
              <w:rPr>
                <w:rFonts w:cs="Times New Roman"/>
                <w:color w:val="000000"/>
                <w:spacing w:val="-1"/>
                <w:w w:val="103"/>
                <w:szCs w:val="24"/>
              </w:rPr>
            </w:pPr>
            <w:r>
              <w:rPr>
                <w:rFonts w:cs="Times New Roman"/>
                <w:b/>
                <w:szCs w:val="24"/>
              </w:rPr>
              <w:t>Įsipareigojimai</w:t>
            </w:r>
          </w:p>
        </w:tc>
        <w:tc>
          <w:tcPr>
            <w:tcW w:w="1667" w:type="dxa"/>
            <w:tcBorders>
              <w:top w:val="single" w:sz="4" w:space="0" w:color="000000"/>
              <w:left w:val="single" w:sz="4" w:space="0" w:color="000000"/>
              <w:bottom w:val="single" w:sz="4" w:space="0" w:color="000000"/>
              <w:right w:val="single" w:sz="4" w:space="0" w:color="000000"/>
            </w:tcBorders>
            <w:shd w:val="clear" w:color="auto" w:fill="auto"/>
          </w:tcPr>
          <w:p w:rsidR="00A004BD" w:rsidRDefault="00A004BD">
            <w:pPr>
              <w:pStyle w:val="Antrat2"/>
              <w:numPr>
                <w:ilvl w:val="0"/>
                <w:numId w:val="0"/>
              </w:numPr>
              <w:snapToGrid w:val="0"/>
              <w:spacing w:before="0" w:after="0"/>
              <w:rPr>
                <w:rFonts w:ascii="Times New Roman" w:hAnsi="Times New Roman" w:cs="Times New Roman"/>
                <w:b w:val="0"/>
                <w:i w:val="0"/>
                <w:color w:val="000000"/>
                <w:spacing w:val="-1"/>
                <w:w w:val="103"/>
                <w:sz w:val="24"/>
                <w:szCs w:val="24"/>
              </w:rPr>
            </w:pPr>
          </w:p>
        </w:tc>
      </w:tr>
      <w:tr w:rsidR="00A004BD">
        <w:tc>
          <w:tcPr>
            <w:tcW w:w="674" w:type="dxa"/>
            <w:tcBorders>
              <w:top w:val="single" w:sz="4" w:space="0" w:color="000000"/>
              <w:left w:val="single" w:sz="4" w:space="0" w:color="000000"/>
              <w:bottom w:val="single" w:sz="4" w:space="0" w:color="000000"/>
            </w:tcBorders>
            <w:shd w:val="clear" w:color="auto" w:fill="auto"/>
          </w:tcPr>
          <w:p w:rsidR="00A004BD" w:rsidRDefault="00A004BD">
            <w:pPr>
              <w:widowControl w:val="0"/>
              <w:shd w:val="clear" w:color="auto" w:fill="FFFFFF"/>
              <w:tabs>
                <w:tab w:val="left" w:pos="1980"/>
              </w:tabs>
              <w:autoSpaceDE w:val="0"/>
              <w:rPr>
                <w:rFonts w:cs="Times New Roman"/>
                <w:szCs w:val="24"/>
              </w:rPr>
            </w:pPr>
            <w:r>
              <w:rPr>
                <w:szCs w:val="24"/>
              </w:rPr>
              <w:t>I.2.</w:t>
            </w:r>
          </w:p>
        </w:tc>
        <w:tc>
          <w:tcPr>
            <w:tcW w:w="2128" w:type="dxa"/>
            <w:tcBorders>
              <w:top w:val="single" w:sz="4" w:space="0" w:color="000000"/>
              <w:left w:val="single" w:sz="4" w:space="0" w:color="000000"/>
              <w:bottom w:val="single" w:sz="4" w:space="0" w:color="000000"/>
            </w:tcBorders>
            <w:shd w:val="clear" w:color="auto" w:fill="auto"/>
          </w:tcPr>
          <w:p w:rsidR="00A004BD" w:rsidRDefault="00A004BD">
            <w:pPr>
              <w:pStyle w:val="Antrat2"/>
              <w:numPr>
                <w:ilvl w:val="0"/>
                <w:numId w:val="0"/>
              </w:numPr>
              <w:spacing w:before="0" w:after="0"/>
              <w:rPr>
                <w:rFonts w:cs="Times New Roman"/>
                <w:szCs w:val="24"/>
              </w:rPr>
            </w:pPr>
            <w:r>
              <w:rPr>
                <w:rFonts w:ascii="Times New Roman" w:hAnsi="Times New Roman" w:cs="Times New Roman"/>
                <w:b w:val="0"/>
                <w:i w:val="0"/>
                <w:sz w:val="24"/>
                <w:szCs w:val="24"/>
              </w:rPr>
              <w:t xml:space="preserve">Ilgalaikiai atidėjiniai </w:t>
            </w:r>
          </w:p>
        </w:tc>
        <w:tc>
          <w:tcPr>
            <w:tcW w:w="6095" w:type="dxa"/>
            <w:tcBorders>
              <w:top w:val="single" w:sz="4" w:space="0" w:color="000000"/>
              <w:left w:val="single" w:sz="4" w:space="0" w:color="000000"/>
              <w:bottom w:val="single" w:sz="4" w:space="0" w:color="000000"/>
            </w:tcBorders>
            <w:shd w:val="clear" w:color="auto" w:fill="auto"/>
          </w:tcPr>
          <w:p w:rsidR="00A004BD" w:rsidRDefault="00A004BD">
            <w:pPr>
              <w:widowControl w:val="0"/>
              <w:shd w:val="clear" w:color="auto" w:fill="FFFFFF"/>
              <w:tabs>
                <w:tab w:val="left" w:pos="34"/>
              </w:tabs>
              <w:autoSpaceDE w:val="0"/>
              <w:rPr>
                <w:rFonts w:cs="Times New Roman"/>
                <w:color w:val="000000"/>
                <w:spacing w:val="-1"/>
                <w:w w:val="103"/>
                <w:szCs w:val="24"/>
              </w:rPr>
            </w:pPr>
            <w:r>
              <w:rPr>
                <w:rFonts w:cs="Times New Roman"/>
                <w:szCs w:val="24"/>
              </w:rPr>
              <w:t>Aiškinamojo rašto lentelės „Atidėjiniai pagal jų panaudojimo laiką“ stulpelio „4. Diskontuota vertė“ eilutės „2. Nuo vienų iki penkerių  metų“ ir eilutės „3. Po penkerių  metų“ suma.</w:t>
            </w:r>
          </w:p>
        </w:tc>
        <w:tc>
          <w:tcPr>
            <w:tcW w:w="1667" w:type="dxa"/>
            <w:tcBorders>
              <w:top w:val="single" w:sz="4" w:space="0" w:color="000000"/>
              <w:left w:val="single" w:sz="4" w:space="0" w:color="000000"/>
              <w:bottom w:val="single" w:sz="4" w:space="0" w:color="000000"/>
              <w:right w:val="single" w:sz="4" w:space="0" w:color="000000"/>
            </w:tcBorders>
            <w:shd w:val="clear" w:color="auto" w:fill="auto"/>
          </w:tcPr>
          <w:p w:rsidR="00A004BD" w:rsidRDefault="00A004BD">
            <w:pPr>
              <w:pStyle w:val="Antrat2"/>
              <w:numPr>
                <w:ilvl w:val="0"/>
                <w:numId w:val="0"/>
              </w:numPr>
              <w:spacing w:before="0" w:after="0"/>
            </w:pPr>
            <w:r>
              <w:rPr>
                <w:rFonts w:ascii="Times New Roman" w:hAnsi="Times New Roman" w:cs="Times New Roman"/>
                <w:b w:val="0"/>
                <w:i w:val="0"/>
                <w:color w:val="000000"/>
                <w:spacing w:val="-1"/>
                <w:w w:val="103"/>
                <w:sz w:val="24"/>
                <w:szCs w:val="24"/>
              </w:rPr>
              <w:t>Sumos turi sutapti</w:t>
            </w:r>
          </w:p>
        </w:tc>
      </w:tr>
      <w:tr w:rsidR="00A004BD">
        <w:tc>
          <w:tcPr>
            <w:tcW w:w="674" w:type="dxa"/>
            <w:tcBorders>
              <w:top w:val="single" w:sz="4" w:space="0" w:color="000000"/>
              <w:left w:val="single" w:sz="4" w:space="0" w:color="000000"/>
              <w:bottom w:val="single" w:sz="4" w:space="0" w:color="000000"/>
            </w:tcBorders>
            <w:shd w:val="clear" w:color="auto" w:fill="auto"/>
          </w:tcPr>
          <w:p w:rsidR="00A004BD" w:rsidRDefault="00A004BD">
            <w:pPr>
              <w:widowControl w:val="0"/>
              <w:shd w:val="clear" w:color="auto" w:fill="FFFFFF"/>
              <w:tabs>
                <w:tab w:val="left" w:pos="1980"/>
              </w:tabs>
              <w:autoSpaceDE w:val="0"/>
              <w:rPr>
                <w:rFonts w:cs="Times New Roman"/>
                <w:szCs w:val="24"/>
              </w:rPr>
            </w:pPr>
            <w:r>
              <w:rPr>
                <w:szCs w:val="24"/>
              </w:rPr>
              <w:t>II.1.</w:t>
            </w:r>
          </w:p>
        </w:tc>
        <w:tc>
          <w:tcPr>
            <w:tcW w:w="2128" w:type="dxa"/>
            <w:tcBorders>
              <w:top w:val="single" w:sz="4" w:space="0" w:color="000000"/>
              <w:left w:val="single" w:sz="4" w:space="0" w:color="000000"/>
              <w:bottom w:val="single" w:sz="4" w:space="0" w:color="000000"/>
            </w:tcBorders>
            <w:shd w:val="clear" w:color="auto" w:fill="auto"/>
          </w:tcPr>
          <w:p w:rsidR="00A004BD" w:rsidRDefault="00A004BD">
            <w:pPr>
              <w:pStyle w:val="Antrat2"/>
              <w:numPr>
                <w:ilvl w:val="0"/>
                <w:numId w:val="0"/>
              </w:numPr>
              <w:spacing w:before="0" w:after="0"/>
              <w:rPr>
                <w:rFonts w:cs="Times New Roman"/>
                <w:szCs w:val="24"/>
              </w:rPr>
            </w:pPr>
            <w:r>
              <w:rPr>
                <w:rFonts w:ascii="Times New Roman" w:hAnsi="Times New Roman" w:cs="Times New Roman"/>
                <w:b w:val="0"/>
                <w:i w:val="0"/>
                <w:sz w:val="24"/>
                <w:szCs w:val="24"/>
              </w:rPr>
              <w:t xml:space="preserve">Ilgalaikių atidėjinių einamųjų metų dalis ir trumpalaikiai </w:t>
            </w:r>
            <w:r>
              <w:rPr>
                <w:rFonts w:ascii="Times New Roman" w:hAnsi="Times New Roman" w:cs="Times New Roman"/>
                <w:b w:val="0"/>
                <w:i w:val="0"/>
                <w:sz w:val="24"/>
                <w:szCs w:val="24"/>
              </w:rPr>
              <w:lastRenderedPageBreak/>
              <w:t>atidėjiniai</w:t>
            </w:r>
          </w:p>
        </w:tc>
        <w:tc>
          <w:tcPr>
            <w:tcW w:w="6095" w:type="dxa"/>
            <w:tcBorders>
              <w:top w:val="single" w:sz="4" w:space="0" w:color="000000"/>
              <w:left w:val="single" w:sz="4" w:space="0" w:color="000000"/>
              <w:bottom w:val="single" w:sz="4" w:space="0" w:color="000000"/>
            </w:tcBorders>
            <w:shd w:val="clear" w:color="auto" w:fill="auto"/>
          </w:tcPr>
          <w:p w:rsidR="00A004BD" w:rsidRDefault="00A004BD">
            <w:pPr>
              <w:widowControl w:val="0"/>
              <w:shd w:val="clear" w:color="auto" w:fill="FFFFFF"/>
              <w:tabs>
                <w:tab w:val="left" w:pos="34"/>
              </w:tabs>
              <w:autoSpaceDE w:val="0"/>
              <w:rPr>
                <w:rFonts w:cs="Times New Roman"/>
                <w:color w:val="000000"/>
                <w:spacing w:val="-1"/>
                <w:w w:val="103"/>
                <w:szCs w:val="24"/>
              </w:rPr>
            </w:pPr>
            <w:r>
              <w:rPr>
                <w:rFonts w:cs="Times New Roman"/>
                <w:szCs w:val="24"/>
              </w:rPr>
              <w:lastRenderedPageBreak/>
              <w:t xml:space="preserve">Aiškinamojo rašto lentelės „Atidėjiniai pagal jų panaudojimo laiką“ stulpelio „4. Diskontuota vertė“ eilutės „1. Per vienerius metus“ suma. </w:t>
            </w:r>
          </w:p>
        </w:tc>
        <w:tc>
          <w:tcPr>
            <w:tcW w:w="1667" w:type="dxa"/>
            <w:tcBorders>
              <w:top w:val="single" w:sz="4" w:space="0" w:color="000000"/>
              <w:left w:val="single" w:sz="4" w:space="0" w:color="000000"/>
              <w:bottom w:val="single" w:sz="4" w:space="0" w:color="000000"/>
              <w:right w:val="single" w:sz="4" w:space="0" w:color="000000"/>
            </w:tcBorders>
            <w:shd w:val="clear" w:color="auto" w:fill="auto"/>
          </w:tcPr>
          <w:p w:rsidR="00A004BD" w:rsidRDefault="00A004BD">
            <w:pPr>
              <w:pStyle w:val="Antrat2"/>
              <w:numPr>
                <w:ilvl w:val="0"/>
                <w:numId w:val="0"/>
              </w:numPr>
              <w:spacing w:before="0" w:after="0"/>
            </w:pPr>
            <w:r>
              <w:rPr>
                <w:rFonts w:ascii="Times New Roman" w:hAnsi="Times New Roman" w:cs="Times New Roman"/>
                <w:b w:val="0"/>
                <w:i w:val="0"/>
                <w:color w:val="000000"/>
                <w:spacing w:val="-1"/>
                <w:w w:val="103"/>
                <w:sz w:val="24"/>
                <w:szCs w:val="24"/>
              </w:rPr>
              <w:t>Sumos turi sutapti</w:t>
            </w:r>
          </w:p>
        </w:tc>
      </w:tr>
      <w:tr w:rsidR="00A004BD">
        <w:tc>
          <w:tcPr>
            <w:tcW w:w="674" w:type="dxa"/>
            <w:tcBorders>
              <w:top w:val="single" w:sz="4" w:space="0" w:color="000000"/>
              <w:left w:val="single" w:sz="4" w:space="0" w:color="000000"/>
              <w:bottom w:val="single" w:sz="4" w:space="0" w:color="000000"/>
            </w:tcBorders>
            <w:shd w:val="clear" w:color="auto" w:fill="auto"/>
          </w:tcPr>
          <w:p w:rsidR="00A004BD" w:rsidRDefault="00A004BD">
            <w:pPr>
              <w:widowControl w:val="0"/>
              <w:shd w:val="clear" w:color="auto" w:fill="FFFFFF"/>
              <w:tabs>
                <w:tab w:val="left" w:pos="1980"/>
              </w:tabs>
              <w:autoSpaceDE w:val="0"/>
              <w:rPr>
                <w:rFonts w:cs="Times New Roman"/>
                <w:szCs w:val="24"/>
              </w:rPr>
            </w:pPr>
            <w:r>
              <w:rPr>
                <w:szCs w:val="24"/>
              </w:rPr>
              <w:lastRenderedPageBreak/>
              <w:t>II.4.</w:t>
            </w:r>
          </w:p>
        </w:tc>
        <w:tc>
          <w:tcPr>
            <w:tcW w:w="2128" w:type="dxa"/>
            <w:tcBorders>
              <w:top w:val="single" w:sz="4" w:space="0" w:color="000000"/>
              <w:left w:val="single" w:sz="4" w:space="0" w:color="000000"/>
              <w:bottom w:val="single" w:sz="4" w:space="0" w:color="000000"/>
            </w:tcBorders>
            <w:shd w:val="clear" w:color="auto" w:fill="auto"/>
          </w:tcPr>
          <w:p w:rsidR="00A004BD" w:rsidRDefault="00A004BD">
            <w:pPr>
              <w:pStyle w:val="Antrat2"/>
              <w:numPr>
                <w:ilvl w:val="0"/>
                <w:numId w:val="0"/>
              </w:numPr>
              <w:spacing w:before="0" w:after="0"/>
              <w:rPr>
                <w:rFonts w:cs="Times New Roman"/>
                <w:szCs w:val="24"/>
              </w:rPr>
            </w:pPr>
            <w:r>
              <w:rPr>
                <w:rFonts w:ascii="Times New Roman" w:hAnsi="Times New Roman" w:cs="Times New Roman"/>
                <w:b w:val="0"/>
                <w:i w:val="0"/>
                <w:sz w:val="24"/>
                <w:szCs w:val="24"/>
              </w:rPr>
              <w:t>Mokėtinos subsidijos, dotacijos ir finansavimo sumos</w:t>
            </w:r>
          </w:p>
        </w:tc>
        <w:tc>
          <w:tcPr>
            <w:tcW w:w="6095" w:type="dxa"/>
            <w:tcBorders>
              <w:top w:val="single" w:sz="4" w:space="0" w:color="000000"/>
              <w:left w:val="single" w:sz="4" w:space="0" w:color="000000"/>
              <w:bottom w:val="single" w:sz="4" w:space="0" w:color="000000"/>
            </w:tcBorders>
            <w:shd w:val="clear" w:color="auto" w:fill="auto"/>
          </w:tcPr>
          <w:p w:rsidR="00A004BD" w:rsidRDefault="00A004BD">
            <w:pPr>
              <w:widowControl w:val="0"/>
              <w:shd w:val="clear" w:color="auto" w:fill="FFFFFF"/>
              <w:tabs>
                <w:tab w:val="left" w:pos="34"/>
              </w:tabs>
              <w:autoSpaceDE w:val="0"/>
              <w:rPr>
                <w:rFonts w:cs="Times New Roman"/>
                <w:color w:val="000000"/>
                <w:spacing w:val="-1"/>
                <w:w w:val="103"/>
                <w:szCs w:val="24"/>
              </w:rPr>
            </w:pPr>
            <w:r>
              <w:rPr>
                <w:rFonts w:cs="Times New Roman"/>
                <w:szCs w:val="24"/>
              </w:rPr>
              <w:t>Aiškinamojo rašto lentelės „Informacija apie kai kurias trumpalaikes mokėtinas sumas“ eilutės „1. Mokėtinos subsidijos, dotacijos ir finansavimo sumos“ stulpelio „3. Iš viso“ suma.</w:t>
            </w:r>
          </w:p>
        </w:tc>
        <w:tc>
          <w:tcPr>
            <w:tcW w:w="1667" w:type="dxa"/>
            <w:tcBorders>
              <w:top w:val="single" w:sz="4" w:space="0" w:color="000000"/>
              <w:left w:val="single" w:sz="4" w:space="0" w:color="000000"/>
              <w:bottom w:val="single" w:sz="4" w:space="0" w:color="000000"/>
              <w:right w:val="single" w:sz="4" w:space="0" w:color="000000"/>
            </w:tcBorders>
            <w:shd w:val="clear" w:color="auto" w:fill="auto"/>
          </w:tcPr>
          <w:p w:rsidR="00A004BD" w:rsidRDefault="00A004BD">
            <w:pPr>
              <w:pStyle w:val="Antrat2"/>
              <w:numPr>
                <w:ilvl w:val="0"/>
                <w:numId w:val="0"/>
              </w:numPr>
              <w:spacing w:before="0" w:after="0"/>
            </w:pPr>
            <w:r>
              <w:rPr>
                <w:rFonts w:ascii="Times New Roman" w:hAnsi="Times New Roman" w:cs="Times New Roman"/>
                <w:b w:val="0"/>
                <w:i w:val="0"/>
                <w:color w:val="000000"/>
                <w:spacing w:val="-1"/>
                <w:w w:val="103"/>
                <w:sz w:val="24"/>
                <w:szCs w:val="24"/>
              </w:rPr>
              <w:t>Sumos turi sutapti</w:t>
            </w:r>
          </w:p>
        </w:tc>
      </w:tr>
      <w:tr w:rsidR="00A004BD">
        <w:tc>
          <w:tcPr>
            <w:tcW w:w="674" w:type="dxa"/>
            <w:tcBorders>
              <w:top w:val="single" w:sz="4" w:space="0" w:color="000000"/>
              <w:left w:val="single" w:sz="4" w:space="0" w:color="000000"/>
              <w:bottom w:val="single" w:sz="4" w:space="0" w:color="000000"/>
            </w:tcBorders>
            <w:shd w:val="clear" w:color="auto" w:fill="auto"/>
          </w:tcPr>
          <w:p w:rsidR="00A004BD" w:rsidRDefault="00A004BD">
            <w:pPr>
              <w:widowControl w:val="0"/>
              <w:shd w:val="clear" w:color="auto" w:fill="FFFFFF"/>
              <w:tabs>
                <w:tab w:val="left" w:pos="1980"/>
              </w:tabs>
              <w:autoSpaceDE w:val="0"/>
              <w:rPr>
                <w:rFonts w:cs="Times New Roman"/>
                <w:szCs w:val="24"/>
              </w:rPr>
            </w:pPr>
            <w:r>
              <w:rPr>
                <w:szCs w:val="24"/>
              </w:rPr>
              <w:t>II.9.</w:t>
            </w:r>
          </w:p>
        </w:tc>
        <w:tc>
          <w:tcPr>
            <w:tcW w:w="2128" w:type="dxa"/>
            <w:tcBorders>
              <w:top w:val="single" w:sz="4" w:space="0" w:color="000000"/>
              <w:left w:val="single" w:sz="4" w:space="0" w:color="000000"/>
              <w:bottom w:val="single" w:sz="4" w:space="0" w:color="000000"/>
            </w:tcBorders>
            <w:shd w:val="clear" w:color="auto" w:fill="auto"/>
          </w:tcPr>
          <w:p w:rsidR="00A004BD" w:rsidRDefault="00A004BD">
            <w:pPr>
              <w:pStyle w:val="Antrat2"/>
              <w:numPr>
                <w:ilvl w:val="0"/>
                <w:numId w:val="0"/>
              </w:numPr>
              <w:spacing w:before="0" w:after="0"/>
              <w:rPr>
                <w:rFonts w:cs="Times New Roman"/>
                <w:szCs w:val="24"/>
              </w:rPr>
            </w:pPr>
            <w:r>
              <w:rPr>
                <w:rFonts w:ascii="Times New Roman" w:hAnsi="Times New Roman" w:cs="Times New Roman"/>
                <w:b w:val="0"/>
                <w:i w:val="0"/>
                <w:sz w:val="24"/>
                <w:szCs w:val="24"/>
              </w:rPr>
              <w:t xml:space="preserve">Tiekėjams mokėtinos sumos </w:t>
            </w:r>
          </w:p>
        </w:tc>
        <w:tc>
          <w:tcPr>
            <w:tcW w:w="6095" w:type="dxa"/>
            <w:tcBorders>
              <w:top w:val="single" w:sz="4" w:space="0" w:color="000000"/>
              <w:left w:val="single" w:sz="4" w:space="0" w:color="000000"/>
              <w:bottom w:val="single" w:sz="4" w:space="0" w:color="000000"/>
            </w:tcBorders>
            <w:shd w:val="clear" w:color="auto" w:fill="auto"/>
          </w:tcPr>
          <w:p w:rsidR="00A004BD" w:rsidRDefault="00A004BD">
            <w:pPr>
              <w:widowControl w:val="0"/>
              <w:shd w:val="clear" w:color="auto" w:fill="FFFFFF"/>
              <w:tabs>
                <w:tab w:val="left" w:pos="34"/>
              </w:tabs>
              <w:autoSpaceDE w:val="0"/>
              <w:rPr>
                <w:rFonts w:cs="Times New Roman"/>
                <w:color w:val="000000"/>
                <w:spacing w:val="-1"/>
                <w:w w:val="103"/>
                <w:szCs w:val="24"/>
              </w:rPr>
            </w:pPr>
            <w:r>
              <w:rPr>
                <w:rFonts w:cs="Times New Roman"/>
                <w:szCs w:val="24"/>
              </w:rPr>
              <w:t>Aiškinamojo rašto lentelės „Informacija apie kai kurias trumpalaikes mokėtinas sumas“ eilutės „2. Tiekėjams mokėtinos sumos“ stulpelio „3. Iš viso“ suma.</w:t>
            </w:r>
          </w:p>
        </w:tc>
        <w:tc>
          <w:tcPr>
            <w:tcW w:w="1667" w:type="dxa"/>
            <w:tcBorders>
              <w:top w:val="single" w:sz="4" w:space="0" w:color="000000"/>
              <w:left w:val="single" w:sz="4" w:space="0" w:color="000000"/>
              <w:bottom w:val="single" w:sz="4" w:space="0" w:color="000000"/>
              <w:right w:val="single" w:sz="4" w:space="0" w:color="000000"/>
            </w:tcBorders>
            <w:shd w:val="clear" w:color="auto" w:fill="auto"/>
          </w:tcPr>
          <w:p w:rsidR="00A004BD" w:rsidRDefault="00A004BD">
            <w:pPr>
              <w:pStyle w:val="Antrat2"/>
              <w:numPr>
                <w:ilvl w:val="0"/>
                <w:numId w:val="0"/>
              </w:numPr>
              <w:spacing w:before="0" w:after="0"/>
            </w:pPr>
            <w:r>
              <w:rPr>
                <w:rFonts w:ascii="Times New Roman" w:hAnsi="Times New Roman" w:cs="Times New Roman"/>
                <w:b w:val="0"/>
                <w:i w:val="0"/>
                <w:color w:val="000000"/>
                <w:spacing w:val="-1"/>
                <w:w w:val="103"/>
                <w:sz w:val="24"/>
                <w:szCs w:val="24"/>
              </w:rPr>
              <w:t>Sumos turi sutapti</w:t>
            </w:r>
          </w:p>
        </w:tc>
      </w:tr>
      <w:tr w:rsidR="00A004BD">
        <w:tc>
          <w:tcPr>
            <w:tcW w:w="674" w:type="dxa"/>
            <w:tcBorders>
              <w:top w:val="single" w:sz="4" w:space="0" w:color="000000"/>
              <w:left w:val="single" w:sz="4" w:space="0" w:color="000000"/>
              <w:bottom w:val="single" w:sz="4" w:space="0" w:color="000000"/>
            </w:tcBorders>
            <w:shd w:val="clear" w:color="auto" w:fill="auto"/>
          </w:tcPr>
          <w:p w:rsidR="00A004BD" w:rsidRDefault="00A004BD">
            <w:pPr>
              <w:widowControl w:val="0"/>
              <w:shd w:val="clear" w:color="auto" w:fill="FFFFFF"/>
              <w:tabs>
                <w:tab w:val="left" w:pos="1980"/>
              </w:tabs>
              <w:autoSpaceDE w:val="0"/>
              <w:ind w:right="-109"/>
              <w:rPr>
                <w:rFonts w:cs="Times New Roman"/>
                <w:szCs w:val="24"/>
              </w:rPr>
            </w:pPr>
            <w:r>
              <w:rPr>
                <w:szCs w:val="24"/>
              </w:rPr>
              <w:t>II.11.</w:t>
            </w:r>
          </w:p>
        </w:tc>
        <w:tc>
          <w:tcPr>
            <w:tcW w:w="2128" w:type="dxa"/>
            <w:tcBorders>
              <w:top w:val="single" w:sz="4" w:space="0" w:color="000000"/>
              <w:left w:val="single" w:sz="4" w:space="0" w:color="000000"/>
              <w:bottom w:val="single" w:sz="4" w:space="0" w:color="000000"/>
            </w:tcBorders>
            <w:shd w:val="clear" w:color="auto" w:fill="auto"/>
          </w:tcPr>
          <w:p w:rsidR="00A004BD" w:rsidRDefault="00A004BD">
            <w:pPr>
              <w:pStyle w:val="Antrat2"/>
              <w:numPr>
                <w:ilvl w:val="0"/>
                <w:numId w:val="0"/>
              </w:numPr>
              <w:spacing w:before="0" w:after="0"/>
              <w:rPr>
                <w:rFonts w:cs="Times New Roman"/>
                <w:szCs w:val="24"/>
              </w:rPr>
            </w:pPr>
            <w:r>
              <w:rPr>
                <w:rFonts w:ascii="Times New Roman" w:hAnsi="Times New Roman" w:cs="Times New Roman"/>
                <w:b w:val="0"/>
                <w:i w:val="0"/>
                <w:sz w:val="24"/>
                <w:szCs w:val="24"/>
              </w:rPr>
              <w:t>Sukauptos mokėtinos sumos</w:t>
            </w:r>
          </w:p>
        </w:tc>
        <w:tc>
          <w:tcPr>
            <w:tcW w:w="6095" w:type="dxa"/>
            <w:tcBorders>
              <w:top w:val="single" w:sz="4" w:space="0" w:color="000000"/>
              <w:left w:val="single" w:sz="4" w:space="0" w:color="000000"/>
              <w:bottom w:val="single" w:sz="4" w:space="0" w:color="000000"/>
            </w:tcBorders>
            <w:shd w:val="clear" w:color="auto" w:fill="auto"/>
          </w:tcPr>
          <w:p w:rsidR="00A004BD" w:rsidRDefault="00A004BD">
            <w:pPr>
              <w:widowControl w:val="0"/>
              <w:shd w:val="clear" w:color="auto" w:fill="FFFFFF"/>
              <w:tabs>
                <w:tab w:val="left" w:pos="34"/>
              </w:tabs>
              <w:autoSpaceDE w:val="0"/>
              <w:rPr>
                <w:rFonts w:cs="Times New Roman"/>
                <w:color w:val="000000"/>
                <w:spacing w:val="-1"/>
                <w:w w:val="103"/>
                <w:szCs w:val="24"/>
              </w:rPr>
            </w:pPr>
            <w:r>
              <w:rPr>
                <w:rFonts w:cs="Times New Roman"/>
                <w:szCs w:val="24"/>
              </w:rPr>
              <w:t>Aiškinamojo rašto lentelės „Informacija apie kai kurias trumpalaikes mokėtinas sumas“ eilutės „3. Sukauptos mokėtinos sumos“ stulpelio „3. Iš viso“ suma.</w:t>
            </w:r>
          </w:p>
        </w:tc>
        <w:tc>
          <w:tcPr>
            <w:tcW w:w="1667" w:type="dxa"/>
            <w:tcBorders>
              <w:top w:val="single" w:sz="4" w:space="0" w:color="000000"/>
              <w:left w:val="single" w:sz="4" w:space="0" w:color="000000"/>
              <w:bottom w:val="single" w:sz="4" w:space="0" w:color="000000"/>
              <w:right w:val="single" w:sz="4" w:space="0" w:color="000000"/>
            </w:tcBorders>
            <w:shd w:val="clear" w:color="auto" w:fill="auto"/>
          </w:tcPr>
          <w:p w:rsidR="00A004BD" w:rsidRDefault="00A004BD">
            <w:pPr>
              <w:pStyle w:val="Antrat2"/>
              <w:numPr>
                <w:ilvl w:val="0"/>
                <w:numId w:val="0"/>
              </w:numPr>
              <w:spacing w:before="0" w:after="0"/>
            </w:pPr>
            <w:r>
              <w:rPr>
                <w:rFonts w:ascii="Times New Roman" w:hAnsi="Times New Roman" w:cs="Times New Roman"/>
                <w:b w:val="0"/>
                <w:i w:val="0"/>
                <w:color w:val="000000"/>
                <w:spacing w:val="-1"/>
                <w:w w:val="103"/>
                <w:sz w:val="24"/>
                <w:szCs w:val="24"/>
              </w:rPr>
              <w:t>Sumos turi sutapti</w:t>
            </w:r>
          </w:p>
        </w:tc>
      </w:tr>
      <w:tr w:rsidR="00A004BD">
        <w:tc>
          <w:tcPr>
            <w:tcW w:w="674" w:type="dxa"/>
            <w:tcBorders>
              <w:top w:val="single" w:sz="4" w:space="0" w:color="000000"/>
              <w:left w:val="single" w:sz="4" w:space="0" w:color="000000"/>
              <w:bottom w:val="single" w:sz="4" w:space="0" w:color="000000"/>
            </w:tcBorders>
            <w:shd w:val="clear" w:color="auto" w:fill="auto"/>
          </w:tcPr>
          <w:p w:rsidR="00A004BD" w:rsidRDefault="00A004BD">
            <w:pPr>
              <w:widowControl w:val="0"/>
              <w:shd w:val="clear" w:color="auto" w:fill="FFFFFF"/>
              <w:tabs>
                <w:tab w:val="left" w:pos="1980"/>
              </w:tabs>
              <w:autoSpaceDE w:val="0"/>
              <w:ind w:right="-109"/>
              <w:rPr>
                <w:rFonts w:cs="Times New Roman"/>
                <w:szCs w:val="24"/>
              </w:rPr>
            </w:pPr>
            <w:r>
              <w:rPr>
                <w:szCs w:val="24"/>
              </w:rPr>
              <w:t>II.12.</w:t>
            </w:r>
          </w:p>
        </w:tc>
        <w:tc>
          <w:tcPr>
            <w:tcW w:w="2128" w:type="dxa"/>
            <w:tcBorders>
              <w:top w:val="single" w:sz="4" w:space="0" w:color="000000"/>
              <w:left w:val="single" w:sz="4" w:space="0" w:color="000000"/>
              <w:bottom w:val="single" w:sz="4" w:space="0" w:color="000000"/>
            </w:tcBorders>
            <w:shd w:val="clear" w:color="auto" w:fill="auto"/>
          </w:tcPr>
          <w:p w:rsidR="00A004BD" w:rsidRDefault="00A004BD">
            <w:pPr>
              <w:pStyle w:val="Antrat2"/>
              <w:numPr>
                <w:ilvl w:val="0"/>
                <w:numId w:val="0"/>
              </w:numPr>
              <w:spacing w:before="0" w:after="0"/>
              <w:rPr>
                <w:rFonts w:cs="Times New Roman"/>
                <w:szCs w:val="24"/>
              </w:rPr>
            </w:pPr>
            <w:r>
              <w:rPr>
                <w:rFonts w:ascii="Times New Roman" w:hAnsi="Times New Roman" w:cs="Times New Roman"/>
                <w:b w:val="0"/>
                <w:i w:val="0"/>
                <w:sz w:val="24"/>
                <w:szCs w:val="24"/>
              </w:rPr>
              <w:t>Kiti trumpalaikiai įsipareigojimai</w:t>
            </w:r>
          </w:p>
        </w:tc>
        <w:tc>
          <w:tcPr>
            <w:tcW w:w="6095" w:type="dxa"/>
            <w:tcBorders>
              <w:top w:val="single" w:sz="4" w:space="0" w:color="000000"/>
              <w:left w:val="single" w:sz="4" w:space="0" w:color="000000"/>
              <w:bottom w:val="single" w:sz="4" w:space="0" w:color="000000"/>
            </w:tcBorders>
            <w:shd w:val="clear" w:color="auto" w:fill="auto"/>
          </w:tcPr>
          <w:p w:rsidR="00A004BD" w:rsidRDefault="00A004BD">
            <w:pPr>
              <w:widowControl w:val="0"/>
              <w:shd w:val="clear" w:color="auto" w:fill="FFFFFF"/>
              <w:tabs>
                <w:tab w:val="left" w:pos="34"/>
              </w:tabs>
              <w:autoSpaceDE w:val="0"/>
              <w:rPr>
                <w:rFonts w:cs="Times New Roman"/>
                <w:color w:val="000000"/>
                <w:spacing w:val="-1"/>
                <w:w w:val="103"/>
                <w:szCs w:val="24"/>
              </w:rPr>
            </w:pPr>
            <w:r>
              <w:rPr>
                <w:rFonts w:cs="Times New Roman"/>
                <w:szCs w:val="24"/>
              </w:rPr>
              <w:t>Aiškinamojo rašto lentelės „Informacija apie kai kurias trumpalaikes mokėtinas sumas“ eilutės „4. Kiti trumpalaikiai įsipareigojimai“ stulpelio „3. Iš viso“ suma.</w:t>
            </w:r>
          </w:p>
        </w:tc>
        <w:tc>
          <w:tcPr>
            <w:tcW w:w="1667" w:type="dxa"/>
            <w:tcBorders>
              <w:top w:val="single" w:sz="4" w:space="0" w:color="000000"/>
              <w:left w:val="single" w:sz="4" w:space="0" w:color="000000"/>
              <w:bottom w:val="single" w:sz="4" w:space="0" w:color="000000"/>
              <w:right w:val="single" w:sz="4" w:space="0" w:color="000000"/>
            </w:tcBorders>
            <w:shd w:val="clear" w:color="auto" w:fill="auto"/>
          </w:tcPr>
          <w:p w:rsidR="00A004BD" w:rsidRDefault="00A004BD">
            <w:pPr>
              <w:pStyle w:val="Antrat2"/>
              <w:numPr>
                <w:ilvl w:val="0"/>
                <w:numId w:val="0"/>
              </w:numPr>
              <w:spacing w:before="0" w:after="0"/>
            </w:pPr>
            <w:r>
              <w:rPr>
                <w:rFonts w:ascii="Times New Roman" w:hAnsi="Times New Roman" w:cs="Times New Roman"/>
                <w:b w:val="0"/>
                <w:i w:val="0"/>
                <w:color w:val="000000"/>
                <w:spacing w:val="-1"/>
                <w:w w:val="103"/>
                <w:sz w:val="24"/>
                <w:szCs w:val="24"/>
              </w:rPr>
              <w:t>Sumos turi sutapti</w:t>
            </w:r>
          </w:p>
        </w:tc>
      </w:tr>
    </w:tbl>
    <w:p w:rsidR="00A004BD" w:rsidRDefault="00A004BD">
      <w:pPr>
        <w:spacing w:before="120" w:after="120"/>
        <w:rPr>
          <w:rFonts w:cs="Times New Roman"/>
          <w:szCs w:val="24"/>
        </w:rPr>
      </w:pPr>
    </w:p>
    <w:p w:rsidR="00A004BD" w:rsidRDefault="00A004BD">
      <w:pPr>
        <w:pageBreakBefore/>
        <w:rPr>
          <w:rFonts w:cs="Times New Roman"/>
          <w:szCs w:val="24"/>
        </w:rPr>
      </w:pPr>
    </w:p>
    <w:p w:rsidR="00A004BD" w:rsidRDefault="00A004BD">
      <w:pPr>
        <w:widowControl w:val="0"/>
        <w:shd w:val="clear" w:color="auto" w:fill="FFFFFF"/>
        <w:tabs>
          <w:tab w:val="left" w:pos="1980"/>
        </w:tabs>
        <w:autoSpaceDE w:val="0"/>
        <w:spacing w:before="120" w:after="120"/>
        <w:ind w:right="96"/>
        <w:jc w:val="both"/>
        <w:rPr>
          <w:rStyle w:val="apple-style-span"/>
          <w:rFonts w:eastAsia="Calibri"/>
          <w:b/>
          <w:szCs w:val="24"/>
        </w:rPr>
      </w:pPr>
      <w:r>
        <w:t>7 lentelė. Veiklos rezultatų ataskaitos ir aiškinamojo rašto lentelių tikrinimas</w:t>
      </w:r>
    </w:p>
    <w:tbl>
      <w:tblPr>
        <w:tblW w:w="0" w:type="auto"/>
        <w:tblInd w:w="-15" w:type="dxa"/>
        <w:tblLayout w:type="fixed"/>
        <w:tblLook w:val="0000"/>
      </w:tblPr>
      <w:tblGrid>
        <w:gridCol w:w="675"/>
        <w:gridCol w:w="2267"/>
        <w:gridCol w:w="5671"/>
        <w:gridCol w:w="1732"/>
      </w:tblGrid>
      <w:tr w:rsidR="00A004BD">
        <w:trPr>
          <w:cantSplit/>
          <w:tblHeader/>
        </w:trPr>
        <w:tc>
          <w:tcPr>
            <w:tcW w:w="675" w:type="dxa"/>
            <w:tcBorders>
              <w:top w:val="single" w:sz="4" w:space="0" w:color="000000"/>
              <w:left w:val="single" w:sz="4" w:space="0" w:color="000000"/>
              <w:bottom w:val="single" w:sz="4" w:space="0" w:color="000000"/>
            </w:tcBorders>
            <w:shd w:val="clear" w:color="auto" w:fill="D9D9D9"/>
            <w:vAlign w:val="center"/>
          </w:tcPr>
          <w:p w:rsidR="00A004BD" w:rsidRDefault="00A004BD">
            <w:pPr>
              <w:pStyle w:val="Paragrafas1"/>
              <w:spacing w:before="0"/>
              <w:jc w:val="left"/>
              <w:rPr>
                <w:rStyle w:val="apple-style-span"/>
                <w:rFonts w:ascii="Times New Roman" w:eastAsia="Calibri" w:hAnsi="Times New Roman"/>
                <w:b/>
                <w:i/>
                <w:sz w:val="24"/>
                <w:szCs w:val="24"/>
              </w:rPr>
            </w:pPr>
            <w:r>
              <w:rPr>
                <w:rStyle w:val="apple-style-span"/>
                <w:rFonts w:ascii="Times New Roman" w:eastAsia="Calibri" w:hAnsi="Times New Roman"/>
                <w:b/>
                <w:sz w:val="24"/>
                <w:szCs w:val="24"/>
              </w:rPr>
              <w:t>Eil. nr.</w:t>
            </w:r>
          </w:p>
        </w:tc>
        <w:tc>
          <w:tcPr>
            <w:tcW w:w="2267" w:type="dxa"/>
            <w:tcBorders>
              <w:top w:val="single" w:sz="4" w:space="0" w:color="000000"/>
              <w:left w:val="single" w:sz="4" w:space="0" w:color="000000"/>
              <w:bottom w:val="single" w:sz="4" w:space="0" w:color="000000"/>
            </w:tcBorders>
            <w:shd w:val="clear" w:color="auto" w:fill="D9D9D9"/>
            <w:vAlign w:val="center"/>
          </w:tcPr>
          <w:p w:rsidR="00A004BD" w:rsidRDefault="00A004BD">
            <w:pPr>
              <w:pStyle w:val="Antrat2"/>
              <w:numPr>
                <w:ilvl w:val="0"/>
                <w:numId w:val="0"/>
              </w:numPr>
              <w:spacing w:before="0" w:after="0"/>
              <w:rPr>
                <w:rStyle w:val="apple-style-span"/>
                <w:rFonts w:ascii="Times New Roman" w:eastAsia="Calibri" w:hAnsi="Times New Roman"/>
                <w:sz w:val="24"/>
                <w:szCs w:val="24"/>
              </w:rPr>
            </w:pPr>
            <w:r>
              <w:rPr>
                <w:rStyle w:val="apple-style-span"/>
                <w:rFonts w:ascii="Times New Roman" w:eastAsia="Calibri" w:hAnsi="Times New Roman"/>
                <w:sz w:val="24"/>
                <w:szCs w:val="24"/>
              </w:rPr>
              <w:t>Veiklos rezultatų ataskaitos straipsnis</w:t>
            </w:r>
          </w:p>
        </w:tc>
        <w:tc>
          <w:tcPr>
            <w:tcW w:w="5671" w:type="dxa"/>
            <w:tcBorders>
              <w:top w:val="single" w:sz="4" w:space="0" w:color="000000"/>
              <w:left w:val="single" w:sz="4" w:space="0" w:color="000000"/>
              <w:bottom w:val="single" w:sz="4" w:space="0" w:color="000000"/>
            </w:tcBorders>
            <w:shd w:val="clear" w:color="auto" w:fill="D9D9D9"/>
            <w:vAlign w:val="center"/>
          </w:tcPr>
          <w:p w:rsidR="00A004BD" w:rsidRDefault="00A004BD">
            <w:pPr>
              <w:pStyle w:val="Antrat2"/>
              <w:numPr>
                <w:ilvl w:val="0"/>
                <w:numId w:val="0"/>
              </w:numPr>
              <w:spacing w:before="0" w:after="0"/>
              <w:rPr>
                <w:rStyle w:val="apple-style-span"/>
                <w:rFonts w:ascii="Times New Roman" w:eastAsia="Calibri" w:hAnsi="Times New Roman"/>
                <w:sz w:val="24"/>
                <w:szCs w:val="24"/>
              </w:rPr>
            </w:pPr>
            <w:r>
              <w:rPr>
                <w:rStyle w:val="apple-style-span"/>
                <w:rFonts w:ascii="Times New Roman" w:eastAsia="Calibri" w:hAnsi="Times New Roman"/>
                <w:sz w:val="24"/>
                <w:szCs w:val="24"/>
              </w:rPr>
              <w:t>Aiškinamojo rašto lentelės laukas</w:t>
            </w:r>
          </w:p>
        </w:tc>
        <w:tc>
          <w:tcPr>
            <w:tcW w:w="173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004BD" w:rsidRDefault="00A004BD">
            <w:pPr>
              <w:pStyle w:val="Antrat2"/>
              <w:numPr>
                <w:ilvl w:val="0"/>
                <w:numId w:val="0"/>
              </w:numPr>
              <w:spacing w:before="0" w:after="0"/>
            </w:pPr>
            <w:r>
              <w:rPr>
                <w:rStyle w:val="apple-style-span"/>
                <w:rFonts w:ascii="Times New Roman" w:eastAsia="Calibri" w:hAnsi="Times New Roman"/>
                <w:sz w:val="24"/>
                <w:szCs w:val="24"/>
              </w:rPr>
              <w:t>Paaiškinimas</w:t>
            </w:r>
          </w:p>
        </w:tc>
      </w:tr>
      <w:tr w:rsidR="00A004BD">
        <w:trPr>
          <w:cantSplit/>
        </w:trPr>
        <w:tc>
          <w:tcPr>
            <w:tcW w:w="675" w:type="dxa"/>
            <w:tcBorders>
              <w:top w:val="single" w:sz="4" w:space="0" w:color="000000"/>
              <w:left w:val="single" w:sz="4" w:space="0" w:color="000000"/>
              <w:bottom w:val="single" w:sz="4" w:space="0" w:color="000000"/>
            </w:tcBorders>
            <w:shd w:val="clear" w:color="auto" w:fill="auto"/>
          </w:tcPr>
          <w:p w:rsidR="00A004BD" w:rsidRDefault="00A004BD">
            <w:pPr>
              <w:widowControl w:val="0"/>
              <w:shd w:val="clear" w:color="auto" w:fill="FFFFFF"/>
              <w:tabs>
                <w:tab w:val="left" w:pos="1980"/>
              </w:tabs>
              <w:autoSpaceDE w:val="0"/>
              <w:rPr>
                <w:rStyle w:val="apple-style-span"/>
                <w:rFonts w:eastAsia="Calibri"/>
                <w:b/>
                <w:szCs w:val="24"/>
              </w:rPr>
            </w:pPr>
            <w:r>
              <w:rPr>
                <w:rStyle w:val="apple-style-span"/>
                <w:rFonts w:eastAsia="Calibri"/>
                <w:b/>
                <w:szCs w:val="24"/>
              </w:rPr>
              <w:t>A</w:t>
            </w:r>
          </w:p>
        </w:tc>
        <w:tc>
          <w:tcPr>
            <w:tcW w:w="7938" w:type="dxa"/>
            <w:gridSpan w:val="2"/>
            <w:tcBorders>
              <w:top w:val="single" w:sz="4" w:space="0" w:color="000000"/>
              <w:left w:val="single" w:sz="4" w:space="0" w:color="000000"/>
              <w:bottom w:val="single" w:sz="4" w:space="0" w:color="000000"/>
            </w:tcBorders>
            <w:shd w:val="clear" w:color="auto" w:fill="auto"/>
          </w:tcPr>
          <w:p w:rsidR="00A004BD" w:rsidRDefault="00A004BD">
            <w:pPr>
              <w:widowControl w:val="0"/>
              <w:shd w:val="clear" w:color="auto" w:fill="FFFFFF"/>
              <w:tabs>
                <w:tab w:val="left" w:pos="1980"/>
              </w:tabs>
              <w:autoSpaceDE w:val="0"/>
            </w:pPr>
            <w:r>
              <w:rPr>
                <w:rStyle w:val="apple-style-span"/>
                <w:rFonts w:eastAsia="Calibri"/>
                <w:b/>
                <w:szCs w:val="24"/>
              </w:rPr>
              <w:t>Pagrindinės veiklos pajamos</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rsidR="00A004BD" w:rsidRDefault="00A004BD">
            <w:pPr>
              <w:pStyle w:val="Antrat2"/>
              <w:numPr>
                <w:ilvl w:val="0"/>
                <w:numId w:val="0"/>
              </w:numPr>
              <w:snapToGrid w:val="0"/>
              <w:spacing w:before="0" w:after="0"/>
            </w:pPr>
          </w:p>
        </w:tc>
      </w:tr>
      <w:tr w:rsidR="00A004BD">
        <w:trPr>
          <w:cantSplit/>
        </w:trPr>
        <w:tc>
          <w:tcPr>
            <w:tcW w:w="675" w:type="dxa"/>
            <w:tcBorders>
              <w:top w:val="single" w:sz="4" w:space="0" w:color="000000"/>
              <w:left w:val="single" w:sz="4" w:space="0" w:color="000000"/>
              <w:bottom w:val="single" w:sz="4" w:space="0" w:color="000000"/>
            </w:tcBorders>
            <w:shd w:val="clear" w:color="auto" w:fill="auto"/>
          </w:tcPr>
          <w:p w:rsidR="00A004BD" w:rsidRDefault="00A004BD">
            <w:pPr>
              <w:widowControl w:val="0"/>
              <w:shd w:val="clear" w:color="auto" w:fill="FFFFFF"/>
              <w:tabs>
                <w:tab w:val="left" w:pos="1980"/>
              </w:tabs>
              <w:autoSpaceDE w:val="0"/>
              <w:ind w:right="-109"/>
              <w:rPr>
                <w:rStyle w:val="apple-style-span"/>
                <w:rFonts w:eastAsia="Calibri"/>
                <w:szCs w:val="24"/>
              </w:rPr>
            </w:pPr>
            <w:r>
              <w:rPr>
                <w:rStyle w:val="apple-style-span"/>
                <w:rFonts w:eastAsia="Calibri"/>
                <w:b/>
                <w:szCs w:val="24"/>
              </w:rPr>
              <w:t>III.1.</w:t>
            </w:r>
          </w:p>
        </w:tc>
        <w:tc>
          <w:tcPr>
            <w:tcW w:w="2267" w:type="dxa"/>
            <w:tcBorders>
              <w:top w:val="single" w:sz="4" w:space="0" w:color="000000"/>
              <w:left w:val="single" w:sz="4" w:space="0" w:color="000000"/>
              <w:bottom w:val="single" w:sz="4" w:space="0" w:color="000000"/>
            </w:tcBorders>
            <w:shd w:val="clear" w:color="auto" w:fill="auto"/>
          </w:tcPr>
          <w:p w:rsidR="00A004BD" w:rsidRDefault="00A004BD">
            <w:pPr>
              <w:pStyle w:val="Antrat2"/>
              <w:numPr>
                <w:ilvl w:val="0"/>
                <w:numId w:val="0"/>
              </w:numPr>
              <w:spacing w:before="0" w:after="0"/>
              <w:rPr>
                <w:rStyle w:val="apple-style-span"/>
                <w:rFonts w:eastAsia="Calibri"/>
                <w:sz w:val="24"/>
                <w:szCs w:val="24"/>
              </w:rPr>
            </w:pPr>
            <w:r>
              <w:rPr>
                <w:rStyle w:val="apple-style-span"/>
                <w:rFonts w:ascii="Times New Roman" w:eastAsia="Calibri" w:hAnsi="Times New Roman"/>
                <w:b w:val="0"/>
                <w:i w:val="0"/>
                <w:sz w:val="24"/>
                <w:szCs w:val="24"/>
              </w:rPr>
              <w:t>Pagrindinės veiklos kitos pajamos</w:t>
            </w:r>
          </w:p>
        </w:tc>
        <w:tc>
          <w:tcPr>
            <w:tcW w:w="5671" w:type="dxa"/>
            <w:tcBorders>
              <w:top w:val="single" w:sz="4" w:space="0" w:color="000000"/>
              <w:left w:val="single" w:sz="4" w:space="0" w:color="000000"/>
              <w:bottom w:val="single" w:sz="4" w:space="0" w:color="000000"/>
            </w:tcBorders>
            <w:shd w:val="clear" w:color="auto" w:fill="auto"/>
          </w:tcPr>
          <w:p w:rsidR="00A004BD" w:rsidRDefault="00A004BD">
            <w:pPr>
              <w:widowControl w:val="0"/>
              <w:shd w:val="clear" w:color="auto" w:fill="FFFFFF"/>
              <w:tabs>
                <w:tab w:val="left" w:pos="1980"/>
              </w:tabs>
              <w:autoSpaceDE w:val="0"/>
              <w:rPr>
                <w:rFonts w:cs="Times New Roman"/>
                <w:color w:val="000000"/>
                <w:spacing w:val="-1"/>
                <w:w w:val="103"/>
                <w:szCs w:val="24"/>
              </w:rPr>
            </w:pPr>
            <w:r>
              <w:rPr>
                <w:rStyle w:val="apple-style-span"/>
                <w:rFonts w:eastAsia="Calibri"/>
                <w:b/>
                <w:szCs w:val="24"/>
              </w:rPr>
              <w:t>Aiškinamojo rašto lentelės „Kitos pajamos“ eilutės „1. Pagrindinės veiklos kitos pajamos“ stulpelio „3. Ataskaitinis laikotarpis“ suma.</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rsidR="00A004BD" w:rsidRDefault="00A004BD">
            <w:pPr>
              <w:pStyle w:val="Antrat2"/>
              <w:numPr>
                <w:ilvl w:val="0"/>
                <w:numId w:val="0"/>
              </w:numPr>
              <w:spacing w:before="0" w:after="0"/>
            </w:pPr>
            <w:r>
              <w:rPr>
                <w:rFonts w:ascii="Times New Roman" w:hAnsi="Times New Roman" w:cs="Times New Roman"/>
                <w:b w:val="0"/>
                <w:i w:val="0"/>
                <w:color w:val="000000"/>
                <w:spacing w:val="-1"/>
                <w:w w:val="103"/>
                <w:sz w:val="24"/>
                <w:szCs w:val="24"/>
              </w:rPr>
              <w:t>Sumos turi sutapti</w:t>
            </w:r>
          </w:p>
        </w:tc>
      </w:tr>
      <w:tr w:rsidR="00A004BD">
        <w:trPr>
          <w:cantSplit/>
        </w:trPr>
        <w:tc>
          <w:tcPr>
            <w:tcW w:w="675" w:type="dxa"/>
            <w:tcBorders>
              <w:top w:val="single" w:sz="4" w:space="0" w:color="000000"/>
              <w:left w:val="single" w:sz="4" w:space="0" w:color="000000"/>
              <w:bottom w:val="single" w:sz="4" w:space="0" w:color="000000"/>
            </w:tcBorders>
            <w:shd w:val="clear" w:color="auto" w:fill="auto"/>
          </w:tcPr>
          <w:p w:rsidR="00A004BD" w:rsidRDefault="00A004BD">
            <w:pPr>
              <w:widowControl w:val="0"/>
              <w:shd w:val="clear" w:color="auto" w:fill="FFFFFF"/>
              <w:tabs>
                <w:tab w:val="left" w:pos="1980"/>
              </w:tabs>
              <w:autoSpaceDE w:val="0"/>
              <w:rPr>
                <w:rStyle w:val="apple-style-span"/>
                <w:rFonts w:eastAsia="Calibri"/>
                <w:b/>
                <w:szCs w:val="24"/>
              </w:rPr>
            </w:pPr>
            <w:r>
              <w:rPr>
                <w:rStyle w:val="apple-style-span"/>
                <w:rFonts w:eastAsia="Calibri"/>
                <w:b/>
                <w:szCs w:val="24"/>
              </w:rPr>
              <w:t>D</w:t>
            </w:r>
          </w:p>
        </w:tc>
        <w:tc>
          <w:tcPr>
            <w:tcW w:w="7938" w:type="dxa"/>
            <w:gridSpan w:val="2"/>
            <w:tcBorders>
              <w:top w:val="single" w:sz="4" w:space="0" w:color="000000"/>
              <w:left w:val="single" w:sz="4" w:space="0" w:color="000000"/>
              <w:bottom w:val="single" w:sz="4" w:space="0" w:color="000000"/>
            </w:tcBorders>
            <w:shd w:val="clear" w:color="auto" w:fill="auto"/>
          </w:tcPr>
          <w:p w:rsidR="00A004BD" w:rsidRDefault="00A004BD">
            <w:pPr>
              <w:widowControl w:val="0"/>
              <w:shd w:val="clear" w:color="auto" w:fill="FFFFFF"/>
              <w:tabs>
                <w:tab w:val="left" w:pos="1980"/>
              </w:tabs>
              <w:autoSpaceDE w:val="0"/>
            </w:pPr>
            <w:r>
              <w:rPr>
                <w:rStyle w:val="apple-style-span"/>
                <w:rFonts w:eastAsia="Calibri"/>
                <w:b/>
                <w:szCs w:val="24"/>
              </w:rPr>
              <w:t>Kitos veiklos rezultatas</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rsidR="00A004BD" w:rsidRDefault="00A004BD">
            <w:pPr>
              <w:pStyle w:val="Antrat2"/>
              <w:numPr>
                <w:ilvl w:val="0"/>
                <w:numId w:val="0"/>
              </w:numPr>
              <w:snapToGrid w:val="0"/>
              <w:spacing w:before="0" w:after="0"/>
            </w:pPr>
          </w:p>
        </w:tc>
      </w:tr>
      <w:tr w:rsidR="00A004BD">
        <w:trPr>
          <w:cantSplit/>
        </w:trPr>
        <w:tc>
          <w:tcPr>
            <w:tcW w:w="675" w:type="dxa"/>
            <w:tcBorders>
              <w:top w:val="single" w:sz="4" w:space="0" w:color="000000"/>
              <w:left w:val="single" w:sz="4" w:space="0" w:color="000000"/>
              <w:bottom w:val="single" w:sz="4" w:space="0" w:color="000000"/>
            </w:tcBorders>
            <w:shd w:val="clear" w:color="auto" w:fill="auto"/>
          </w:tcPr>
          <w:p w:rsidR="00A004BD" w:rsidRDefault="00A004BD">
            <w:pPr>
              <w:widowControl w:val="0"/>
              <w:shd w:val="clear" w:color="auto" w:fill="FFFFFF"/>
              <w:tabs>
                <w:tab w:val="left" w:pos="1980"/>
              </w:tabs>
              <w:autoSpaceDE w:val="0"/>
              <w:rPr>
                <w:rStyle w:val="apple-style-span"/>
                <w:rFonts w:eastAsia="Calibri"/>
                <w:szCs w:val="24"/>
              </w:rPr>
            </w:pPr>
            <w:r>
              <w:rPr>
                <w:rStyle w:val="apple-style-span"/>
                <w:rFonts w:eastAsia="Calibri"/>
                <w:b/>
                <w:szCs w:val="24"/>
              </w:rPr>
              <w:t>I.</w:t>
            </w:r>
          </w:p>
        </w:tc>
        <w:tc>
          <w:tcPr>
            <w:tcW w:w="2267" w:type="dxa"/>
            <w:tcBorders>
              <w:top w:val="single" w:sz="4" w:space="0" w:color="000000"/>
              <w:left w:val="single" w:sz="4" w:space="0" w:color="000000"/>
              <w:bottom w:val="single" w:sz="4" w:space="0" w:color="000000"/>
            </w:tcBorders>
            <w:shd w:val="clear" w:color="auto" w:fill="auto"/>
          </w:tcPr>
          <w:p w:rsidR="00A004BD" w:rsidRDefault="00A004BD">
            <w:pPr>
              <w:pStyle w:val="Antrat2"/>
              <w:numPr>
                <w:ilvl w:val="0"/>
                <w:numId w:val="0"/>
              </w:numPr>
              <w:spacing w:before="0" w:after="0"/>
              <w:rPr>
                <w:rStyle w:val="apple-style-span"/>
                <w:rFonts w:eastAsia="Calibri"/>
                <w:sz w:val="24"/>
                <w:szCs w:val="24"/>
              </w:rPr>
            </w:pPr>
            <w:r>
              <w:rPr>
                <w:rStyle w:val="apple-style-span"/>
                <w:rFonts w:ascii="Times New Roman" w:eastAsia="Calibri" w:hAnsi="Times New Roman"/>
                <w:b w:val="0"/>
                <w:i w:val="0"/>
                <w:sz w:val="24"/>
                <w:szCs w:val="24"/>
              </w:rPr>
              <w:t>Kitos veiklos pajamos</w:t>
            </w:r>
          </w:p>
        </w:tc>
        <w:tc>
          <w:tcPr>
            <w:tcW w:w="5671" w:type="dxa"/>
            <w:tcBorders>
              <w:top w:val="single" w:sz="4" w:space="0" w:color="000000"/>
              <w:left w:val="single" w:sz="4" w:space="0" w:color="000000"/>
              <w:bottom w:val="single" w:sz="4" w:space="0" w:color="000000"/>
            </w:tcBorders>
            <w:shd w:val="clear" w:color="auto" w:fill="auto"/>
          </w:tcPr>
          <w:p w:rsidR="00A004BD" w:rsidRDefault="00A004BD">
            <w:pPr>
              <w:widowControl w:val="0"/>
              <w:shd w:val="clear" w:color="auto" w:fill="FFFFFF"/>
              <w:tabs>
                <w:tab w:val="left" w:pos="1980"/>
              </w:tabs>
              <w:autoSpaceDE w:val="0"/>
              <w:rPr>
                <w:rFonts w:cs="Times New Roman"/>
                <w:color w:val="000000"/>
                <w:spacing w:val="-1"/>
                <w:w w:val="103"/>
                <w:szCs w:val="24"/>
              </w:rPr>
            </w:pPr>
            <w:r>
              <w:rPr>
                <w:rStyle w:val="apple-style-span"/>
                <w:rFonts w:eastAsia="Calibri"/>
                <w:b/>
                <w:szCs w:val="24"/>
              </w:rPr>
              <w:t>Aiškinamojo rašto lentelės „Kitos pajamos“ eilutės „2. Kitos veiklos pajamos“ stulpelio „3. Ataskaitinis laikotarpis“ suma.</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rsidR="00A004BD" w:rsidRDefault="00A004BD">
            <w:pPr>
              <w:pStyle w:val="Antrat2"/>
              <w:numPr>
                <w:ilvl w:val="0"/>
                <w:numId w:val="0"/>
              </w:numPr>
              <w:spacing w:before="0" w:after="0"/>
            </w:pPr>
            <w:r>
              <w:rPr>
                <w:rFonts w:ascii="Times New Roman" w:hAnsi="Times New Roman" w:cs="Times New Roman"/>
                <w:b w:val="0"/>
                <w:i w:val="0"/>
                <w:color w:val="000000"/>
                <w:spacing w:val="-1"/>
                <w:w w:val="103"/>
                <w:sz w:val="24"/>
                <w:szCs w:val="24"/>
              </w:rPr>
              <w:t>Sumos turi sutapti</w:t>
            </w:r>
          </w:p>
        </w:tc>
      </w:tr>
      <w:tr w:rsidR="00A004BD">
        <w:trPr>
          <w:cantSplit/>
        </w:trPr>
        <w:tc>
          <w:tcPr>
            <w:tcW w:w="675" w:type="dxa"/>
            <w:tcBorders>
              <w:top w:val="single" w:sz="4" w:space="0" w:color="000000"/>
              <w:left w:val="single" w:sz="4" w:space="0" w:color="000000"/>
              <w:bottom w:val="single" w:sz="4" w:space="0" w:color="000000"/>
            </w:tcBorders>
            <w:shd w:val="clear" w:color="auto" w:fill="auto"/>
          </w:tcPr>
          <w:p w:rsidR="00A004BD" w:rsidRDefault="00A004BD">
            <w:pPr>
              <w:widowControl w:val="0"/>
              <w:shd w:val="clear" w:color="auto" w:fill="FFFFFF"/>
              <w:tabs>
                <w:tab w:val="left" w:pos="1980"/>
              </w:tabs>
              <w:autoSpaceDE w:val="0"/>
              <w:rPr>
                <w:rStyle w:val="apple-style-span"/>
                <w:rFonts w:eastAsia="Calibri"/>
                <w:b/>
                <w:szCs w:val="24"/>
              </w:rPr>
            </w:pPr>
            <w:r>
              <w:rPr>
                <w:rStyle w:val="apple-style-span"/>
                <w:rFonts w:eastAsia="Calibri"/>
                <w:b/>
                <w:szCs w:val="24"/>
              </w:rPr>
              <w:t>B</w:t>
            </w:r>
          </w:p>
        </w:tc>
        <w:tc>
          <w:tcPr>
            <w:tcW w:w="7938" w:type="dxa"/>
            <w:gridSpan w:val="2"/>
            <w:tcBorders>
              <w:top w:val="single" w:sz="4" w:space="0" w:color="000000"/>
              <w:left w:val="single" w:sz="4" w:space="0" w:color="000000"/>
              <w:bottom w:val="single" w:sz="4" w:space="0" w:color="000000"/>
            </w:tcBorders>
            <w:shd w:val="clear" w:color="auto" w:fill="auto"/>
          </w:tcPr>
          <w:p w:rsidR="00A004BD" w:rsidRDefault="00A004BD">
            <w:pPr>
              <w:widowControl w:val="0"/>
              <w:shd w:val="clear" w:color="auto" w:fill="FFFFFF"/>
              <w:tabs>
                <w:tab w:val="left" w:pos="1980"/>
              </w:tabs>
              <w:autoSpaceDE w:val="0"/>
            </w:pPr>
            <w:r>
              <w:rPr>
                <w:rStyle w:val="apple-style-span"/>
                <w:rFonts w:eastAsia="Calibri"/>
                <w:b/>
                <w:szCs w:val="24"/>
              </w:rPr>
              <w:t>Pagrindinės veiklos sąnaudos</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rsidR="00A004BD" w:rsidRDefault="00A004BD">
            <w:pPr>
              <w:pStyle w:val="Antrat2"/>
              <w:numPr>
                <w:ilvl w:val="0"/>
                <w:numId w:val="0"/>
              </w:numPr>
              <w:snapToGrid w:val="0"/>
              <w:spacing w:before="0" w:after="0"/>
            </w:pPr>
          </w:p>
        </w:tc>
      </w:tr>
      <w:tr w:rsidR="00A004BD">
        <w:trPr>
          <w:cantSplit/>
        </w:trPr>
        <w:tc>
          <w:tcPr>
            <w:tcW w:w="675" w:type="dxa"/>
            <w:tcBorders>
              <w:top w:val="single" w:sz="4" w:space="0" w:color="000000"/>
              <w:left w:val="single" w:sz="4" w:space="0" w:color="000000"/>
              <w:bottom w:val="single" w:sz="4" w:space="0" w:color="000000"/>
            </w:tcBorders>
            <w:shd w:val="clear" w:color="auto" w:fill="auto"/>
          </w:tcPr>
          <w:p w:rsidR="00A004BD" w:rsidRDefault="00A004BD">
            <w:pPr>
              <w:widowControl w:val="0"/>
              <w:shd w:val="clear" w:color="auto" w:fill="FFFFFF"/>
              <w:tabs>
                <w:tab w:val="left" w:pos="1980"/>
              </w:tabs>
              <w:autoSpaceDE w:val="0"/>
              <w:rPr>
                <w:rStyle w:val="apple-style-span"/>
                <w:rFonts w:eastAsia="Calibri"/>
                <w:szCs w:val="24"/>
              </w:rPr>
            </w:pPr>
            <w:r>
              <w:rPr>
                <w:rStyle w:val="apple-style-span"/>
                <w:rFonts w:eastAsia="Calibri"/>
                <w:b/>
                <w:szCs w:val="24"/>
              </w:rPr>
              <w:t>I.</w:t>
            </w:r>
          </w:p>
        </w:tc>
        <w:tc>
          <w:tcPr>
            <w:tcW w:w="2267" w:type="dxa"/>
            <w:tcBorders>
              <w:top w:val="single" w:sz="4" w:space="0" w:color="000000"/>
              <w:left w:val="single" w:sz="4" w:space="0" w:color="000000"/>
              <w:bottom w:val="single" w:sz="4" w:space="0" w:color="000000"/>
            </w:tcBorders>
            <w:shd w:val="clear" w:color="auto" w:fill="auto"/>
          </w:tcPr>
          <w:p w:rsidR="00A004BD" w:rsidRDefault="00A004BD">
            <w:pPr>
              <w:pStyle w:val="Antrat2"/>
              <w:numPr>
                <w:ilvl w:val="0"/>
                <w:numId w:val="0"/>
              </w:numPr>
              <w:spacing w:before="0" w:after="0"/>
              <w:rPr>
                <w:rStyle w:val="apple-style-span"/>
                <w:rFonts w:eastAsia="Calibri"/>
                <w:sz w:val="24"/>
                <w:szCs w:val="24"/>
              </w:rPr>
            </w:pPr>
            <w:r>
              <w:rPr>
                <w:rStyle w:val="apple-style-span"/>
                <w:rFonts w:ascii="Times New Roman" w:eastAsia="Calibri" w:hAnsi="Times New Roman"/>
                <w:b w:val="0"/>
                <w:i w:val="0"/>
                <w:sz w:val="24"/>
                <w:szCs w:val="24"/>
              </w:rPr>
              <w:t xml:space="preserve">Darbo užmokesčio ir socialinio draudimo </w:t>
            </w:r>
          </w:p>
        </w:tc>
        <w:tc>
          <w:tcPr>
            <w:tcW w:w="5671" w:type="dxa"/>
            <w:tcBorders>
              <w:top w:val="single" w:sz="4" w:space="0" w:color="000000"/>
              <w:left w:val="single" w:sz="4" w:space="0" w:color="000000"/>
              <w:bottom w:val="single" w:sz="4" w:space="0" w:color="000000"/>
            </w:tcBorders>
            <w:shd w:val="clear" w:color="auto" w:fill="auto"/>
          </w:tcPr>
          <w:p w:rsidR="00A004BD" w:rsidRDefault="00A004BD">
            <w:pPr>
              <w:widowControl w:val="0"/>
              <w:shd w:val="clear" w:color="auto" w:fill="FFFFFF"/>
              <w:tabs>
                <w:tab w:val="left" w:pos="1980"/>
              </w:tabs>
              <w:autoSpaceDE w:val="0"/>
              <w:rPr>
                <w:rFonts w:cs="Times New Roman"/>
                <w:color w:val="000000"/>
                <w:spacing w:val="-1"/>
                <w:w w:val="103"/>
                <w:szCs w:val="24"/>
              </w:rPr>
            </w:pPr>
            <w:r>
              <w:rPr>
                <w:rStyle w:val="apple-style-span"/>
                <w:rFonts w:eastAsia="Calibri"/>
                <w:b/>
                <w:szCs w:val="24"/>
              </w:rPr>
              <w:t>Aiškinamojo rašto lentelės „Ataskaitinio laikotarpio informacija pagal veiklos segmentus“ eilutės „1.1. Darbo užmokesčio ir socialinio draudimo“ stulpelio „13. Iš viso“ suma.</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rsidR="00A004BD" w:rsidRDefault="00A004BD">
            <w:pPr>
              <w:pStyle w:val="Antrat2"/>
              <w:numPr>
                <w:ilvl w:val="0"/>
                <w:numId w:val="0"/>
              </w:numPr>
              <w:spacing w:before="0" w:after="0"/>
            </w:pPr>
            <w:r>
              <w:rPr>
                <w:rFonts w:ascii="Times New Roman" w:hAnsi="Times New Roman" w:cs="Times New Roman"/>
                <w:b w:val="0"/>
                <w:i w:val="0"/>
                <w:color w:val="000000"/>
                <w:spacing w:val="-1"/>
                <w:w w:val="103"/>
                <w:sz w:val="24"/>
                <w:szCs w:val="24"/>
              </w:rPr>
              <w:t>Sumos turi sutapti</w:t>
            </w:r>
          </w:p>
        </w:tc>
      </w:tr>
      <w:tr w:rsidR="00A004BD">
        <w:trPr>
          <w:cantSplit/>
        </w:trPr>
        <w:tc>
          <w:tcPr>
            <w:tcW w:w="675" w:type="dxa"/>
            <w:tcBorders>
              <w:top w:val="single" w:sz="4" w:space="0" w:color="000000"/>
              <w:left w:val="single" w:sz="4" w:space="0" w:color="000000"/>
              <w:bottom w:val="single" w:sz="4" w:space="0" w:color="000000"/>
            </w:tcBorders>
            <w:shd w:val="clear" w:color="auto" w:fill="auto"/>
          </w:tcPr>
          <w:p w:rsidR="00A004BD" w:rsidRDefault="00A004BD">
            <w:pPr>
              <w:widowControl w:val="0"/>
              <w:shd w:val="clear" w:color="auto" w:fill="FFFFFF"/>
              <w:tabs>
                <w:tab w:val="left" w:pos="1980"/>
              </w:tabs>
              <w:autoSpaceDE w:val="0"/>
              <w:rPr>
                <w:rStyle w:val="apple-style-span"/>
                <w:rFonts w:eastAsia="Calibri"/>
                <w:szCs w:val="24"/>
              </w:rPr>
            </w:pPr>
            <w:r>
              <w:rPr>
                <w:rStyle w:val="apple-style-span"/>
                <w:rFonts w:eastAsia="Calibri"/>
                <w:b/>
                <w:szCs w:val="24"/>
              </w:rPr>
              <w:t>II.</w:t>
            </w:r>
          </w:p>
        </w:tc>
        <w:tc>
          <w:tcPr>
            <w:tcW w:w="2267" w:type="dxa"/>
            <w:tcBorders>
              <w:top w:val="single" w:sz="4" w:space="0" w:color="000000"/>
              <w:left w:val="single" w:sz="4" w:space="0" w:color="000000"/>
              <w:bottom w:val="single" w:sz="4" w:space="0" w:color="000000"/>
            </w:tcBorders>
            <w:shd w:val="clear" w:color="auto" w:fill="auto"/>
          </w:tcPr>
          <w:p w:rsidR="00A004BD" w:rsidRDefault="00A004BD">
            <w:pPr>
              <w:pStyle w:val="Antrat2"/>
              <w:numPr>
                <w:ilvl w:val="0"/>
                <w:numId w:val="0"/>
              </w:numPr>
              <w:spacing w:before="0" w:after="0"/>
              <w:rPr>
                <w:rStyle w:val="apple-style-span"/>
                <w:rFonts w:eastAsia="Calibri"/>
                <w:sz w:val="24"/>
                <w:szCs w:val="24"/>
              </w:rPr>
            </w:pPr>
            <w:r>
              <w:rPr>
                <w:rStyle w:val="apple-style-span"/>
                <w:rFonts w:ascii="Times New Roman" w:eastAsia="Calibri" w:hAnsi="Times New Roman"/>
                <w:b w:val="0"/>
                <w:i w:val="0"/>
                <w:sz w:val="24"/>
                <w:szCs w:val="24"/>
              </w:rPr>
              <w:t>Nusidėvėjimo ir amortizacijos</w:t>
            </w:r>
          </w:p>
        </w:tc>
        <w:tc>
          <w:tcPr>
            <w:tcW w:w="5671" w:type="dxa"/>
            <w:tcBorders>
              <w:top w:val="single" w:sz="4" w:space="0" w:color="000000"/>
              <w:left w:val="single" w:sz="4" w:space="0" w:color="000000"/>
              <w:bottom w:val="single" w:sz="4" w:space="0" w:color="000000"/>
            </w:tcBorders>
            <w:shd w:val="clear" w:color="auto" w:fill="auto"/>
          </w:tcPr>
          <w:p w:rsidR="00A004BD" w:rsidRDefault="00A004BD">
            <w:pPr>
              <w:widowControl w:val="0"/>
              <w:shd w:val="clear" w:color="auto" w:fill="FFFFFF"/>
              <w:tabs>
                <w:tab w:val="left" w:pos="1980"/>
              </w:tabs>
              <w:autoSpaceDE w:val="0"/>
              <w:rPr>
                <w:rFonts w:cs="Times New Roman"/>
                <w:color w:val="000000"/>
                <w:spacing w:val="-1"/>
                <w:w w:val="103"/>
                <w:szCs w:val="24"/>
              </w:rPr>
            </w:pPr>
            <w:r>
              <w:rPr>
                <w:rStyle w:val="apple-style-span"/>
                <w:rFonts w:eastAsia="Calibri"/>
                <w:b/>
                <w:szCs w:val="24"/>
              </w:rPr>
              <w:t>Aiškinamojo rašto lentelės „Ataskaitinio laikotarpio informacija pagal veiklos segmentus“ eilutės „1.2. Nusidėvėjimo ir amortizacijos“ stulpelio „13. Iš viso“ suma.</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rsidR="00A004BD" w:rsidRDefault="00A004BD">
            <w:pPr>
              <w:pStyle w:val="Antrat2"/>
              <w:numPr>
                <w:ilvl w:val="0"/>
                <w:numId w:val="0"/>
              </w:numPr>
              <w:spacing w:before="0" w:after="0"/>
            </w:pPr>
            <w:r>
              <w:rPr>
                <w:rFonts w:ascii="Times New Roman" w:hAnsi="Times New Roman" w:cs="Times New Roman"/>
                <w:b w:val="0"/>
                <w:i w:val="0"/>
                <w:color w:val="000000"/>
                <w:spacing w:val="-1"/>
                <w:w w:val="103"/>
                <w:sz w:val="24"/>
                <w:szCs w:val="24"/>
              </w:rPr>
              <w:t>Sumos turi sutapti</w:t>
            </w:r>
          </w:p>
        </w:tc>
      </w:tr>
      <w:tr w:rsidR="00A004BD">
        <w:trPr>
          <w:cantSplit/>
        </w:trPr>
        <w:tc>
          <w:tcPr>
            <w:tcW w:w="675" w:type="dxa"/>
            <w:tcBorders>
              <w:top w:val="single" w:sz="4" w:space="0" w:color="000000"/>
              <w:left w:val="single" w:sz="4" w:space="0" w:color="000000"/>
              <w:bottom w:val="single" w:sz="4" w:space="0" w:color="000000"/>
            </w:tcBorders>
            <w:shd w:val="clear" w:color="auto" w:fill="auto"/>
          </w:tcPr>
          <w:p w:rsidR="00A004BD" w:rsidRDefault="00A004BD">
            <w:pPr>
              <w:widowControl w:val="0"/>
              <w:shd w:val="clear" w:color="auto" w:fill="FFFFFF"/>
              <w:tabs>
                <w:tab w:val="left" w:pos="1980"/>
              </w:tabs>
              <w:autoSpaceDE w:val="0"/>
              <w:rPr>
                <w:rStyle w:val="apple-style-span"/>
                <w:rFonts w:eastAsia="Calibri"/>
                <w:szCs w:val="24"/>
              </w:rPr>
            </w:pPr>
            <w:r>
              <w:rPr>
                <w:rStyle w:val="apple-style-span"/>
                <w:rFonts w:eastAsia="Calibri"/>
                <w:b/>
                <w:szCs w:val="24"/>
              </w:rPr>
              <w:t>III.</w:t>
            </w:r>
          </w:p>
        </w:tc>
        <w:tc>
          <w:tcPr>
            <w:tcW w:w="2267" w:type="dxa"/>
            <w:tcBorders>
              <w:top w:val="single" w:sz="4" w:space="0" w:color="000000"/>
              <w:left w:val="single" w:sz="4" w:space="0" w:color="000000"/>
              <w:bottom w:val="single" w:sz="4" w:space="0" w:color="000000"/>
            </w:tcBorders>
            <w:shd w:val="clear" w:color="auto" w:fill="auto"/>
          </w:tcPr>
          <w:p w:rsidR="00A004BD" w:rsidRDefault="00A004BD">
            <w:pPr>
              <w:pStyle w:val="Antrat2"/>
              <w:numPr>
                <w:ilvl w:val="0"/>
                <w:numId w:val="0"/>
              </w:numPr>
              <w:spacing w:before="0" w:after="0"/>
              <w:rPr>
                <w:rStyle w:val="apple-style-span"/>
                <w:rFonts w:eastAsia="Calibri"/>
                <w:sz w:val="24"/>
                <w:szCs w:val="24"/>
              </w:rPr>
            </w:pPr>
            <w:r>
              <w:rPr>
                <w:rStyle w:val="apple-style-span"/>
                <w:rFonts w:ascii="Times New Roman" w:eastAsia="Calibri" w:hAnsi="Times New Roman"/>
                <w:b w:val="0"/>
                <w:i w:val="0"/>
                <w:sz w:val="24"/>
                <w:szCs w:val="24"/>
              </w:rPr>
              <w:t xml:space="preserve">Komunalinių paslaugų ir ryšių </w:t>
            </w:r>
          </w:p>
        </w:tc>
        <w:tc>
          <w:tcPr>
            <w:tcW w:w="5671" w:type="dxa"/>
            <w:tcBorders>
              <w:top w:val="single" w:sz="4" w:space="0" w:color="000000"/>
              <w:left w:val="single" w:sz="4" w:space="0" w:color="000000"/>
              <w:bottom w:val="single" w:sz="4" w:space="0" w:color="000000"/>
            </w:tcBorders>
            <w:shd w:val="clear" w:color="auto" w:fill="auto"/>
          </w:tcPr>
          <w:p w:rsidR="00A004BD" w:rsidRDefault="00A004BD">
            <w:pPr>
              <w:widowControl w:val="0"/>
              <w:shd w:val="clear" w:color="auto" w:fill="FFFFFF"/>
              <w:tabs>
                <w:tab w:val="left" w:pos="1980"/>
              </w:tabs>
              <w:autoSpaceDE w:val="0"/>
              <w:rPr>
                <w:rFonts w:cs="Times New Roman"/>
                <w:color w:val="000000"/>
                <w:spacing w:val="-1"/>
                <w:w w:val="103"/>
                <w:szCs w:val="24"/>
              </w:rPr>
            </w:pPr>
            <w:r>
              <w:rPr>
                <w:rStyle w:val="apple-style-span"/>
                <w:rFonts w:eastAsia="Calibri"/>
                <w:b/>
                <w:szCs w:val="24"/>
              </w:rPr>
              <w:t>Aiškinamojo rašto lentelės „Ataskaitinio laikotarpio informacija pagal veiklos segmentus“ eilutės „1.3. Komunalinių paslaugų ir ryšių“ stulpelio „13. Iš viso“ suma.</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rsidR="00A004BD" w:rsidRDefault="00A004BD">
            <w:pPr>
              <w:pStyle w:val="Antrat2"/>
              <w:numPr>
                <w:ilvl w:val="0"/>
                <w:numId w:val="0"/>
              </w:numPr>
              <w:spacing w:before="0" w:after="0"/>
            </w:pPr>
            <w:r>
              <w:rPr>
                <w:rFonts w:ascii="Times New Roman" w:hAnsi="Times New Roman" w:cs="Times New Roman"/>
                <w:b w:val="0"/>
                <w:i w:val="0"/>
                <w:color w:val="000000"/>
                <w:spacing w:val="-1"/>
                <w:w w:val="103"/>
                <w:sz w:val="24"/>
                <w:szCs w:val="24"/>
              </w:rPr>
              <w:t>Sumos turi sutapti</w:t>
            </w:r>
          </w:p>
        </w:tc>
      </w:tr>
      <w:tr w:rsidR="00A004BD">
        <w:trPr>
          <w:cantSplit/>
        </w:trPr>
        <w:tc>
          <w:tcPr>
            <w:tcW w:w="675" w:type="dxa"/>
            <w:tcBorders>
              <w:top w:val="single" w:sz="4" w:space="0" w:color="000000"/>
              <w:left w:val="single" w:sz="4" w:space="0" w:color="000000"/>
              <w:bottom w:val="single" w:sz="4" w:space="0" w:color="000000"/>
            </w:tcBorders>
            <w:shd w:val="clear" w:color="auto" w:fill="auto"/>
          </w:tcPr>
          <w:p w:rsidR="00A004BD" w:rsidRDefault="00A004BD">
            <w:pPr>
              <w:widowControl w:val="0"/>
              <w:shd w:val="clear" w:color="auto" w:fill="FFFFFF"/>
              <w:tabs>
                <w:tab w:val="left" w:pos="1980"/>
              </w:tabs>
              <w:autoSpaceDE w:val="0"/>
              <w:rPr>
                <w:rStyle w:val="apple-style-span"/>
                <w:rFonts w:eastAsia="Calibri"/>
                <w:szCs w:val="24"/>
              </w:rPr>
            </w:pPr>
            <w:r>
              <w:rPr>
                <w:rStyle w:val="apple-style-span"/>
                <w:rFonts w:eastAsia="Calibri"/>
                <w:b/>
                <w:szCs w:val="24"/>
              </w:rPr>
              <w:t>IV.</w:t>
            </w:r>
          </w:p>
        </w:tc>
        <w:tc>
          <w:tcPr>
            <w:tcW w:w="2267" w:type="dxa"/>
            <w:tcBorders>
              <w:top w:val="single" w:sz="4" w:space="0" w:color="000000"/>
              <w:left w:val="single" w:sz="4" w:space="0" w:color="000000"/>
              <w:bottom w:val="single" w:sz="4" w:space="0" w:color="000000"/>
            </w:tcBorders>
            <w:shd w:val="clear" w:color="auto" w:fill="auto"/>
          </w:tcPr>
          <w:p w:rsidR="00A004BD" w:rsidRDefault="00A004BD">
            <w:pPr>
              <w:pStyle w:val="Antrat2"/>
              <w:numPr>
                <w:ilvl w:val="0"/>
                <w:numId w:val="0"/>
              </w:numPr>
              <w:spacing w:before="0" w:after="0"/>
              <w:rPr>
                <w:rStyle w:val="apple-style-span"/>
                <w:rFonts w:eastAsia="Calibri"/>
                <w:sz w:val="24"/>
                <w:szCs w:val="24"/>
              </w:rPr>
            </w:pPr>
            <w:r>
              <w:rPr>
                <w:rStyle w:val="apple-style-span"/>
                <w:rFonts w:ascii="Times New Roman" w:eastAsia="Calibri" w:hAnsi="Times New Roman"/>
                <w:b w:val="0"/>
                <w:i w:val="0"/>
                <w:sz w:val="24"/>
                <w:szCs w:val="24"/>
              </w:rPr>
              <w:t>Komandiruočių</w:t>
            </w:r>
          </w:p>
        </w:tc>
        <w:tc>
          <w:tcPr>
            <w:tcW w:w="5671" w:type="dxa"/>
            <w:tcBorders>
              <w:top w:val="single" w:sz="4" w:space="0" w:color="000000"/>
              <w:left w:val="single" w:sz="4" w:space="0" w:color="000000"/>
              <w:bottom w:val="single" w:sz="4" w:space="0" w:color="000000"/>
            </w:tcBorders>
            <w:shd w:val="clear" w:color="auto" w:fill="auto"/>
          </w:tcPr>
          <w:p w:rsidR="00A004BD" w:rsidRDefault="00A004BD">
            <w:pPr>
              <w:widowControl w:val="0"/>
              <w:shd w:val="clear" w:color="auto" w:fill="FFFFFF"/>
              <w:tabs>
                <w:tab w:val="left" w:pos="1980"/>
              </w:tabs>
              <w:autoSpaceDE w:val="0"/>
              <w:rPr>
                <w:rFonts w:cs="Times New Roman"/>
                <w:color w:val="000000"/>
                <w:spacing w:val="-1"/>
                <w:w w:val="103"/>
                <w:szCs w:val="24"/>
              </w:rPr>
            </w:pPr>
            <w:r>
              <w:rPr>
                <w:rStyle w:val="apple-style-span"/>
                <w:rFonts w:eastAsia="Calibri"/>
                <w:b/>
                <w:szCs w:val="24"/>
              </w:rPr>
              <w:t>Aiškinamojo rašto lentelės „Ataskaitinio laikotarpio informacija pagal veiklos segmentus“ eilutės „1.4. Komandiruočių“ stulpelio „13. Iš viso“ suma.</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rsidR="00A004BD" w:rsidRDefault="00A004BD">
            <w:pPr>
              <w:pStyle w:val="Antrat2"/>
              <w:numPr>
                <w:ilvl w:val="0"/>
                <w:numId w:val="0"/>
              </w:numPr>
              <w:spacing w:before="0" w:after="0"/>
            </w:pPr>
            <w:r>
              <w:rPr>
                <w:rFonts w:ascii="Times New Roman" w:hAnsi="Times New Roman" w:cs="Times New Roman"/>
                <w:b w:val="0"/>
                <w:i w:val="0"/>
                <w:color w:val="000000"/>
                <w:spacing w:val="-1"/>
                <w:w w:val="103"/>
                <w:sz w:val="24"/>
                <w:szCs w:val="24"/>
              </w:rPr>
              <w:t>Sumos turi sutapti</w:t>
            </w:r>
          </w:p>
        </w:tc>
      </w:tr>
      <w:tr w:rsidR="00A004BD">
        <w:trPr>
          <w:cantSplit/>
        </w:trPr>
        <w:tc>
          <w:tcPr>
            <w:tcW w:w="675" w:type="dxa"/>
            <w:tcBorders>
              <w:top w:val="single" w:sz="4" w:space="0" w:color="000000"/>
              <w:left w:val="single" w:sz="4" w:space="0" w:color="000000"/>
              <w:bottom w:val="single" w:sz="4" w:space="0" w:color="000000"/>
            </w:tcBorders>
            <w:shd w:val="clear" w:color="auto" w:fill="auto"/>
          </w:tcPr>
          <w:p w:rsidR="00A004BD" w:rsidRDefault="00A004BD">
            <w:pPr>
              <w:widowControl w:val="0"/>
              <w:shd w:val="clear" w:color="auto" w:fill="FFFFFF"/>
              <w:tabs>
                <w:tab w:val="left" w:pos="1980"/>
              </w:tabs>
              <w:autoSpaceDE w:val="0"/>
              <w:rPr>
                <w:rStyle w:val="apple-style-span"/>
                <w:rFonts w:eastAsia="Calibri"/>
                <w:szCs w:val="24"/>
              </w:rPr>
            </w:pPr>
            <w:r>
              <w:rPr>
                <w:rStyle w:val="apple-style-span"/>
                <w:rFonts w:eastAsia="Calibri"/>
                <w:b/>
                <w:szCs w:val="24"/>
              </w:rPr>
              <w:t>V.</w:t>
            </w:r>
          </w:p>
        </w:tc>
        <w:tc>
          <w:tcPr>
            <w:tcW w:w="2267" w:type="dxa"/>
            <w:tcBorders>
              <w:top w:val="single" w:sz="4" w:space="0" w:color="000000"/>
              <w:left w:val="single" w:sz="4" w:space="0" w:color="000000"/>
              <w:bottom w:val="single" w:sz="4" w:space="0" w:color="000000"/>
            </w:tcBorders>
            <w:shd w:val="clear" w:color="auto" w:fill="auto"/>
          </w:tcPr>
          <w:p w:rsidR="00A004BD" w:rsidRDefault="00A004BD">
            <w:pPr>
              <w:pStyle w:val="Antrat2"/>
              <w:numPr>
                <w:ilvl w:val="0"/>
                <w:numId w:val="0"/>
              </w:numPr>
              <w:spacing w:before="0" w:after="0"/>
              <w:rPr>
                <w:rStyle w:val="apple-style-span"/>
                <w:rFonts w:eastAsia="Calibri"/>
                <w:sz w:val="24"/>
                <w:szCs w:val="24"/>
              </w:rPr>
            </w:pPr>
            <w:r>
              <w:rPr>
                <w:rStyle w:val="apple-style-span"/>
                <w:rFonts w:ascii="Times New Roman" w:eastAsia="Calibri" w:hAnsi="Times New Roman"/>
                <w:b w:val="0"/>
                <w:i w:val="0"/>
                <w:sz w:val="24"/>
                <w:szCs w:val="24"/>
              </w:rPr>
              <w:t>Transporto</w:t>
            </w:r>
          </w:p>
        </w:tc>
        <w:tc>
          <w:tcPr>
            <w:tcW w:w="5671" w:type="dxa"/>
            <w:tcBorders>
              <w:top w:val="single" w:sz="4" w:space="0" w:color="000000"/>
              <w:left w:val="single" w:sz="4" w:space="0" w:color="000000"/>
              <w:bottom w:val="single" w:sz="4" w:space="0" w:color="000000"/>
            </w:tcBorders>
            <w:shd w:val="clear" w:color="auto" w:fill="auto"/>
          </w:tcPr>
          <w:p w:rsidR="00A004BD" w:rsidRDefault="00A004BD">
            <w:pPr>
              <w:widowControl w:val="0"/>
              <w:shd w:val="clear" w:color="auto" w:fill="FFFFFF"/>
              <w:tabs>
                <w:tab w:val="left" w:pos="1980"/>
              </w:tabs>
              <w:autoSpaceDE w:val="0"/>
              <w:rPr>
                <w:rFonts w:cs="Times New Roman"/>
                <w:color w:val="000000"/>
                <w:spacing w:val="-1"/>
                <w:w w:val="103"/>
                <w:szCs w:val="24"/>
              </w:rPr>
            </w:pPr>
            <w:r>
              <w:rPr>
                <w:rStyle w:val="apple-style-span"/>
                <w:rFonts w:eastAsia="Calibri"/>
                <w:b/>
                <w:szCs w:val="24"/>
              </w:rPr>
              <w:t>Aiškinamojo rašto lentelės „Ataskaitinio laikotarpio informacija pagal veiklos segmentus“ eilutės „1.5. Transporto“ stulpelio „13. Iš viso“ suma.</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rsidR="00A004BD" w:rsidRDefault="00A004BD">
            <w:pPr>
              <w:pStyle w:val="Antrat2"/>
              <w:numPr>
                <w:ilvl w:val="0"/>
                <w:numId w:val="0"/>
              </w:numPr>
              <w:spacing w:before="0" w:after="0"/>
            </w:pPr>
            <w:r>
              <w:rPr>
                <w:rFonts w:ascii="Times New Roman" w:hAnsi="Times New Roman" w:cs="Times New Roman"/>
                <w:b w:val="0"/>
                <w:i w:val="0"/>
                <w:color w:val="000000"/>
                <w:spacing w:val="-1"/>
                <w:w w:val="103"/>
                <w:sz w:val="24"/>
                <w:szCs w:val="24"/>
              </w:rPr>
              <w:t>Sumos turi sutapti</w:t>
            </w:r>
          </w:p>
        </w:tc>
      </w:tr>
      <w:tr w:rsidR="00A004BD">
        <w:trPr>
          <w:cantSplit/>
        </w:trPr>
        <w:tc>
          <w:tcPr>
            <w:tcW w:w="675" w:type="dxa"/>
            <w:tcBorders>
              <w:top w:val="single" w:sz="4" w:space="0" w:color="000000"/>
              <w:left w:val="single" w:sz="4" w:space="0" w:color="000000"/>
              <w:bottom w:val="single" w:sz="4" w:space="0" w:color="000000"/>
            </w:tcBorders>
            <w:shd w:val="clear" w:color="auto" w:fill="auto"/>
          </w:tcPr>
          <w:p w:rsidR="00A004BD" w:rsidRDefault="00A004BD">
            <w:pPr>
              <w:widowControl w:val="0"/>
              <w:shd w:val="clear" w:color="auto" w:fill="FFFFFF"/>
              <w:tabs>
                <w:tab w:val="left" w:pos="1980"/>
              </w:tabs>
              <w:autoSpaceDE w:val="0"/>
              <w:rPr>
                <w:rStyle w:val="apple-style-span"/>
                <w:rFonts w:eastAsia="Calibri"/>
                <w:szCs w:val="24"/>
              </w:rPr>
            </w:pPr>
            <w:r>
              <w:rPr>
                <w:rStyle w:val="apple-style-span"/>
                <w:rFonts w:eastAsia="Calibri"/>
                <w:b/>
                <w:szCs w:val="24"/>
              </w:rPr>
              <w:t>VI.</w:t>
            </w:r>
          </w:p>
        </w:tc>
        <w:tc>
          <w:tcPr>
            <w:tcW w:w="2267" w:type="dxa"/>
            <w:tcBorders>
              <w:top w:val="single" w:sz="4" w:space="0" w:color="000000"/>
              <w:left w:val="single" w:sz="4" w:space="0" w:color="000000"/>
              <w:bottom w:val="single" w:sz="4" w:space="0" w:color="000000"/>
            </w:tcBorders>
            <w:shd w:val="clear" w:color="auto" w:fill="auto"/>
          </w:tcPr>
          <w:p w:rsidR="00A004BD" w:rsidRDefault="00A004BD">
            <w:pPr>
              <w:pStyle w:val="Antrat2"/>
              <w:numPr>
                <w:ilvl w:val="0"/>
                <w:numId w:val="0"/>
              </w:numPr>
              <w:spacing w:before="0" w:after="0"/>
              <w:rPr>
                <w:rStyle w:val="apple-style-span"/>
                <w:rFonts w:eastAsia="Calibri"/>
                <w:sz w:val="24"/>
                <w:szCs w:val="24"/>
              </w:rPr>
            </w:pPr>
            <w:r>
              <w:rPr>
                <w:rStyle w:val="apple-style-span"/>
                <w:rFonts w:ascii="Times New Roman" w:eastAsia="Calibri" w:hAnsi="Times New Roman"/>
                <w:b w:val="0"/>
                <w:i w:val="0"/>
                <w:sz w:val="24"/>
                <w:szCs w:val="24"/>
              </w:rPr>
              <w:t>Kvalifikacijos kėlimo</w:t>
            </w:r>
          </w:p>
        </w:tc>
        <w:tc>
          <w:tcPr>
            <w:tcW w:w="5671" w:type="dxa"/>
            <w:tcBorders>
              <w:top w:val="single" w:sz="4" w:space="0" w:color="000000"/>
              <w:left w:val="single" w:sz="4" w:space="0" w:color="000000"/>
              <w:bottom w:val="single" w:sz="4" w:space="0" w:color="000000"/>
            </w:tcBorders>
            <w:shd w:val="clear" w:color="auto" w:fill="auto"/>
          </w:tcPr>
          <w:p w:rsidR="00A004BD" w:rsidRDefault="00A004BD">
            <w:pPr>
              <w:widowControl w:val="0"/>
              <w:shd w:val="clear" w:color="auto" w:fill="FFFFFF"/>
              <w:tabs>
                <w:tab w:val="left" w:pos="1980"/>
              </w:tabs>
              <w:autoSpaceDE w:val="0"/>
              <w:rPr>
                <w:rFonts w:cs="Times New Roman"/>
                <w:color w:val="000000"/>
                <w:spacing w:val="-1"/>
                <w:w w:val="103"/>
                <w:szCs w:val="24"/>
              </w:rPr>
            </w:pPr>
            <w:r>
              <w:rPr>
                <w:rStyle w:val="apple-style-span"/>
                <w:rFonts w:eastAsia="Calibri"/>
                <w:b/>
                <w:szCs w:val="24"/>
              </w:rPr>
              <w:t>Aiškinamojo rašto lentelės „Ataskaitinio laikotarpio informacija pagal veiklos segmentus“ eilutės „1.6. Kvalifikacijos kėlimo“ stulpelio „13. Iš viso“ suma.</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rsidR="00A004BD" w:rsidRDefault="00A004BD">
            <w:pPr>
              <w:pStyle w:val="Antrat2"/>
              <w:numPr>
                <w:ilvl w:val="0"/>
                <w:numId w:val="0"/>
              </w:numPr>
              <w:spacing w:before="0" w:after="0"/>
            </w:pPr>
            <w:r>
              <w:rPr>
                <w:rFonts w:ascii="Times New Roman" w:hAnsi="Times New Roman" w:cs="Times New Roman"/>
                <w:b w:val="0"/>
                <w:i w:val="0"/>
                <w:color w:val="000000"/>
                <w:spacing w:val="-1"/>
                <w:w w:val="103"/>
                <w:sz w:val="24"/>
                <w:szCs w:val="24"/>
              </w:rPr>
              <w:t>Sumos turi sutapti</w:t>
            </w:r>
          </w:p>
        </w:tc>
      </w:tr>
      <w:tr w:rsidR="00A004BD">
        <w:trPr>
          <w:cantSplit/>
        </w:trPr>
        <w:tc>
          <w:tcPr>
            <w:tcW w:w="675" w:type="dxa"/>
            <w:tcBorders>
              <w:top w:val="single" w:sz="4" w:space="0" w:color="000000"/>
              <w:left w:val="single" w:sz="4" w:space="0" w:color="000000"/>
              <w:bottom w:val="single" w:sz="4" w:space="0" w:color="000000"/>
            </w:tcBorders>
            <w:shd w:val="clear" w:color="auto" w:fill="auto"/>
          </w:tcPr>
          <w:p w:rsidR="00A004BD" w:rsidRDefault="00A004BD">
            <w:pPr>
              <w:widowControl w:val="0"/>
              <w:shd w:val="clear" w:color="auto" w:fill="FFFFFF"/>
              <w:tabs>
                <w:tab w:val="left" w:pos="1980"/>
              </w:tabs>
              <w:autoSpaceDE w:val="0"/>
              <w:rPr>
                <w:rStyle w:val="apple-style-span"/>
                <w:rFonts w:eastAsia="Calibri"/>
                <w:szCs w:val="24"/>
              </w:rPr>
            </w:pPr>
            <w:r>
              <w:rPr>
                <w:rStyle w:val="apple-style-span"/>
                <w:rFonts w:eastAsia="Calibri"/>
                <w:b/>
                <w:szCs w:val="24"/>
              </w:rPr>
              <w:t>VII.</w:t>
            </w:r>
          </w:p>
        </w:tc>
        <w:tc>
          <w:tcPr>
            <w:tcW w:w="2267" w:type="dxa"/>
            <w:tcBorders>
              <w:top w:val="single" w:sz="4" w:space="0" w:color="000000"/>
              <w:left w:val="single" w:sz="4" w:space="0" w:color="000000"/>
              <w:bottom w:val="single" w:sz="4" w:space="0" w:color="000000"/>
            </w:tcBorders>
            <w:shd w:val="clear" w:color="auto" w:fill="auto"/>
          </w:tcPr>
          <w:p w:rsidR="00A004BD" w:rsidRDefault="00A004BD">
            <w:pPr>
              <w:pStyle w:val="Antrat2"/>
              <w:numPr>
                <w:ilvl w:val="0"/>
                <w:numId w:val="0"/>
              </w:numPr>
              <w:spacing w:before="0" w:after="0"/>
              <w:rPr>
                <w:rStyle w:val="apple-style-span"/>
                <w:rFonts w:eastAsia="Calibri"/>
                <w:sz w:val="24"/>
                <w:szCs w:val="24"/>
              </w:rPr>
            </w:pPr>
            <w:r>
              <w:rPr>
                <w:rStyle w:val="apple-style-span"/>
                <w:rFonts w:ascii="Times New Roman" w:eastAsia="Calibri" w:hAnsi="Times New Roman"/>
                <w:b w:val="0"/>
                <w:i w:val="0"/>
                <w:sz w:val="24"/>
                <w:szCs w:val="24"/>
              </w:rPr>
              <w:t>Paprastojo remonto ir eksploatavimo</w:t>
            </w:r>
          </w:p>
        </w:tc>
        <w:tc>
          <w:tcPr>
            <w:tcW w:w="5671" w:type="dxa"/>
            <w:tcBorders>
              <w:top w:val="single" w:sz="4" w:space="0" w:color="000000"/>
              <w:left w:val="single" w:sz="4" w:space="0" w:color="000000"/>
              <w:bottom w:val="single" w:sz="4" w:space="0" w:color="000000"/>
            </w:tcBorders>
            <w:shd w:val="clear" w:color="auto" w:fill="auto"/>
          </w:tcPr>
          <w:p w:rsidR="00A004BD" w:rsidRDefault="00A004BD">
            <w:pPr>
              <w:widowControl w:val="0"/>
              <w:shd w:val="clear" w:color="auto" w:fill="FFFFFF"/>
              <w:tabs>
                <w:tab w:val="left" w:pos="1980"/>
              </w:tabs>
              <w:autoSpaceDE w:val="0"/>
              <w:rPr>
                <w:rFonts w:cs="Times New Roman"/>
                <w:color w:val="000000"/>
                <w:spacing w:val="-1"/>
                <w:w w:val="103"/>
                <w:szCs w:val="24"/>
              </w:rPr>
            </w:pPr>
            <w:r>
              <w:rPr>
                <w:rStyle w:val="apple-style-span"/>
                <w:rFonts w:eastAsia="Calibri"/>
                <w:b/>
                <w:szCs w:val="24"/>
              </w:rPr>
              <w:t>Aiškinamojo rašto lentelės „Ataskaitinio laikotarpio informacija pagal veiklos segmentus“ eilutės „1.7. Paprastojo remonto ir eksploatavimo“ stulpelio „13. Iš viso“ suma.</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rsidR="00A004BD" w:rsidRDefault="00A004BD">
            <w:pPr>
              <w:pStyle w:val="Antrat2"/>
              <w:numPr>
                <w:ilvl w:val="0"/>
                <w:numId w:val="0"/>
              </w:numPr>
              <w:spacing w:before="0" w:after="0"/>
            </w:pPr>
            <w:r>
              <w:rPr>
                <w:rFonts w:ascii="Times New Roman" w:hAnsi="Times New Roman" w:cs="Times New Roman"/>
                <w:b w:val="0"/>
                <w:i w:val="0"/>
                <w:color w:val="000000"/>
                <w:spacing w:val="-1"/>
                <w:w w:val="103"/>
                <w:sz w:val="24"/>
                <w:szCs w:val="24"/>
              </w:rPr>
              <w:t>Sumos turi sutapti</w:t>
            </w:r>
          </w:p>
        </w:tc>
      </w:tr>
      <w:tr w:rsidR="00A004BD">
        <w:trPr>
          <w:cantSplit/>
        </w:trPr>
        <w:tc>
          <w:tcPr>
            <w:tcW w:w="675" w:type="dxa"/>
            <w:tcBorders>
              <w:top w:val="single" w:sz="4" w:space="0" w:color="000000"/>
              <w:left w:val="single" w:sz="4" w:space="0" w:color="000000"/>
              <w:bottom w:val="single" w:sz="4" w:space="0" w:color="000000"/>
            </w:tcBorders>
            <w:shd w:val="clear" w:color="auto" w:fill="auto"/>
          </w:tcPr>
          <w:p w:rsidR="00A004BD" w:rsidRDefault="00A004BD">
            <w:pPr>
              <w:widowControl w:val="0"/>
              <w:shd w:val="clear" w:color="auto" w:fill="FFFFFF"/>
              <w:tabs>
                <w:tab w:val="left" w:pos="1980"/>
              </w:tabs>
              <w:autoSpaceDE w:val="0"/>
              <w:rPr>
                <w:rStyle w:val="apple-style-span"/>
                <w:rFonts w:eastAsia="Calibri"/>
                <w:szCs w:val="24"/>
              </w:rPr>
            </w:pPr>
            <w:r>
              <w:rPr>
                <w:rStyle w:val="apple-style-span"/>
                <w:rFonts w:eastAsia="Calibri"/>
                <w:b/>
                <w:szCs w:val="24"/>
              </w:rPr>
              <w:t>VII.</w:t>
            </w:r>
          </w:p>
        </w:tc>
        <w:tc>
          <w:tcPr>
            <w:tcW w:w="2267" w:type="dxa"/>
            <w:tcBorders>
              <w:top w:val="single" w:sz="4" w:space="0" w:color="000000"/>
              <w:left w:val="single" w:sz="4" w:space="0" w:color="000000"/>
              <w:bottom w:val="single" w:sz="4" w:space="0" w:color="000000"/>
            </w:tcBorders>
            <w:shd w:val="clear" w:color="auto" w:fill="auto"/>
          </w:tcPr>
          <w:p w:rsidR="00A004BD" w:rsidRDefault="00A004BD">
            <w:pPr>
              <w:pStyle w:val="Antrat2"/>
              <w:numPr>
                <w:ilvl w:val="0"/>
                <w:numId w:val="0"/>
              </w:numPr>
              <w:spacing w:before="0" w:after="0"/>
              <w:rPr>
                <w:rStyle w:val="apple-style-span"/>
                <w:rFonts w:eastAsia="Calibri"/>
                <w:sz w:val="24"/>
                <w:szCs w:val="24"/>
              </w:rPr>
            </w:pPr>
            <w:r>
              <w:rPr>
                <w:rStyle w:val="apple-style-span"/>
                <w:rFonts w:ascii="Times New Roman" w:eastAsia="Calibri" w:hAnsi="Times New Roman"/>
                <w:b w:val="0"/>
                <w:i w:val="0"/>
                <w:sz w:val="24"/>
                <w:szCs w:val="24"/>
              </w:rPr>
              <w:t>Paprastojo remonto ir eksploatavimo</w:t>
            </w:r>
          </w:p>
        </w:tc>
        <w:tc>
          <w:tcPr>
            <w:tcW w:w="5671" w:type="dxa"/>
            <w:tcBorders>
              <w:top w:val="single" w:sz="4" w:space="0" w:color="000000"/>
              <w:left w:val="single" w:sz="4" w:space="0" w:color="000000"/>
              <w:bottom w:val="single" w:sz="4" w:space="0" w:color="000000"/>
            </w:tcBorders>
            <w:shd w:val="clear" w:color="auto" w:fill="auto"/>
          </w:tcPr>
          <w:p w:rsidR="00A004BD" w:rsidRDefault="00A004BD">
            <w:pPr>
              <w:widowControl w:val="0"/>
              <w:shd w:val="clear" w:color="auto" w:fill="FFFFFF"/>
              <w:tabs>
                <w:tab w:val="left" w:pos="1980"/>
              </w:tabs>
              <w:autoSpaceDE w:val="0"/>
              <w:rPr>
                <w:rFonts w:cs="Times New Roman"/>
                <w:color w:val="000000"/>
                <w:spacing w:val="-1"/>
                <w:w w:val="103"/>
                <w:szCs w:val="24"/>
              </w:rPr>
            </w:pPr>
            <w:r>
              <w:rPr>
                <w:rStyle w:val="apple-style-span"/>
                <w:rFonts w:eastAsia="Calibri"/>
                <w:b/>
                <w:szCs w:val="24"/>
              </w:rPr>
              <w:t>Aiškinamojo rašto lentelės „Ataskaitinio laikotarpio informacija pagal veiklos segmentus“ eilutės „1.7. Paprastojo remonto ir eksploatavimo“ stulpelio „13. Iš viso“ suma.</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rsidR="00A004BD" w:rsidRDefault="00A004BD">
            <w:pPr>
              <w:pStyle w:val="Antrat2"/>
              <w:numPr>
                <w:ilvl w:val="0"/>
                <w:numId w:val="0"/>
              </w:numPr>
              <w:spacing w:before="0" w:after="0"/>
            </w:pPr>
            <w:r>
              <w:rPr>
                <w:rFonts w:ascii="Times New Roman" w:hAnsi="Times New Roman" w:cs="Times New Roman"/>
                <w:b w:val="0"/>
                <w:i w:val="0"/>
                <w:color w:val="000000"/>
                <w:spacing w:val="-1"/>
                <w:w w:val="103"/>
                <w:sz w:val="24"/>
                <w:szCs w:val="24"/>
              </w:rPr>
              <w:t>Sumos turi sutapti</w:t>
            </w:r>
          </w:p>
        </w:tc>
      </w:tr>
      <w:tr w:rsidR="00A004BD">
        <w:trPr>
          <w:cantSplit/>
        </w:trPr>
        <w:tc>
          <w:tcPr>
            <w:tcW w:w="675" w:type="dxa"/>
            <w:tcBorders>
              <w:top w:val="single" w:sz="4" w:space="0" w:color="000000"/>
              <w:left w:val="single" w:sz="4" w:space="0" w:color="000000"/>
              <w:bottom w:val="single" w:sz="4" w:space="0" w:color="000000"/>
            </w:tcBorders>
            <w:shd w:val="clear" w:color="auto" w:fill="auto"/>
          </w:tcPr>
          <w:p w:rsidR="00A004BD" w:rsidRDefault="00A004BD">
            <w:pPr>
              <w:widowControl w:val="0"/>
              <w:shd w:val="clear" w:color="auto" w:fill="FFFFFF"/>
              <w:tabs>
                <w:tab w:val="left" w:pos="1980"/>
              </w:tabs>
              <w:autoSpaceDE w:val="0"/>
              <w:ind w:right="-109"/>
              <w:rPr>
                <w:rStyle w:val="apple-style-span"/>
                <w:rFonts w:eastAsia="Calibri"/>
                <w:szCs w:val="24"/>
              </w:rPr>
            </w:pPr>
            <w:r>
              <w:rPr>
                <w:rStyle w:val="apple-style-span"/>
                <w:rFonts w:eastAsia="Calibri"/>
                <w:b/>
                <w:szCs w:val="24"/>
              </w:rPr>
              <w:t>VIII.</w:t>
            </w:r>
          </w:p>
        </w:tc>
        <w:tc>
          <w:tcPr>
            <w:tcW w:w="2267" w:type="dxa"/>
            <w:tcBorders>
              <w:top w:val="single" w:sz="4" w:space="0" w:color="000000"/>
              <w:left w:val="single" w:sz="4" w:space="0" w:color="000000"/>
              <w:bottom w:val="single" w:sz="4" w:space="0" w:color="000000"/>
            </w:tcBorders>
            <w:shd w:val="clear" w:color="auto" w:fill="auto"/>
          </w:tcPr>
          <w:p w:rsidR="00A004BD" w:rsidRDefault="00A004BD">
            <w:pPr>
              <w:pStyle w:val="Antrat2"/>
              <w:numPr>
                <w:ilvl w:val="0"/>
                <w:numId w:val="0"/>
              </w:numPr>
              <w:spacing w:before="0" w:after="0"/>
              <w:rPr>
                <w:rStyle w:val="apple-style-span"/>
                <w:rFonts w:eastAsia="Calibri"/>
                <w:sz w:val="24"/>
                <w:szCs w:val="24"/>
              </w:rPr>
            </w:pPr>
            <w:r>
              <w:rPr>
                <w:rStyle w:val="apple-style-span"/>
                <w:rFonts w:ascii="Times New Roman" w:eastAsia="Calibri" w:hAnsi="Times New Roman"/>
                <w:b w:val="0"/>
                <w:i w:val="0"/>
                <w:sz w:val="24"/>
                <w:szCs w:val="24"/>
              </w:rPr>
              <w:t>Nuvertėjimo ir nurašytų sumų</w:t>
            </w:r>
          </w:p>
        </w:tc>
        <w:tc>
          <w:tcPr>
            <w:tcW w:w="5671" w:type="dxa"/>
            <w:tcBorders>
              <w:top w:val="single" w:sz="4" w:space="0" w:color="000000"/>
              <w:left w:val="single" w:sz="4" w:space="0" w:color="000000"/>
              <w:bottom w:val="single" w:sz="4" w:space="0" w:color="000000"/>
            </w:tcBorders>
            <w:shd w:val="clear" w:color="auto" w:fill="auto"/>
          </w:tcPr>
          <w:p w:rsidR="00A004BD" w:rsidRDefault="00A004BD">
            <w:pPr>
              <w:widowControl w:val="0"/>
              <w:shd w:val="clear" w:color="auto" w:fill="FFFFFF"/>
              <w:tabs>
                <w:tab w:val="left" w:pos="1980"/>
              </w:tabs>
              <w:autoSpaceDE w:val="0"/>
              <w:rPr>
                <w:rFonts w:cs="Times New Roman"/>
                <w:color w:val="000000"/>
                <w:spacing w:val="-1"/>
                <w:w w:val="103"/>
                <w:szCs w:val="24"/>
              </w:rPr>
            </w:pPr>
            <w:r>
              <w:rPr>
                <w:rStyle w:val="apple-style-span"/>
                <w:rFonts w:eastAsia="Calibri"/>
                <w:b/>
                <w:szCs w:val="24"/>
              </w:rPr>
              <w:t>Aiškinamojo rašto lentelės „Ataskaitinio laikotarpio informacija pagal veiklos segmentus“ eilutės „1.8. Nuvertėjimo ir nurašytų sumų“ stulpelio „13. Iš viso“ suma.</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rsidR="00A004BD" w:rsidRDefault="00A004BD">
            <w:pPr>
              <w:pStyle w:val="Antrat2"/>
              <w:numPr>
                <w:ilvl w:val="0"/>
                <w:numId w:val="0"/>
              </w:numPr>
              <w:spacing w:before="0" w:after="0"/>
            </w:pPr>
            <w:r>
              <w:rPr>
                <w:rFonts w:ascii="Times New Roman" w:hAnsi="Times New Roman" w:cs="Times New Roman"/>
                <w:b w:val="0"/>
                <w:i w:val="0"/>
                <w:color w:val="000000"/>
                <w:spacing w:val="-1"/>
                <w:w w:val="103"/>
                <w:sz w:val="24"/>
                <w:szCs w:val="24"/>
              </w:rPr>
              <w:t>Sumos turi sutapti</w:t>
            </w:r>
          </w:p>
        </w:tc>
      </w:tr>
      <w:tr w:rsidR="00A004BD">
        <w:trPr>
          <w:cantSplit/>
        </w:trPr>
        <w:tc>
          <w:tcPr>
            <w:tcW w:w="675" w:type="dxa"/>
            <w:tcBorders>
              <w:top w:val="single" w:sz="4" w:space="0" w:color="000000"/>
              <w:left w:val="single" w:sz="4" w:space="0" w:color="000000"/>
              <w:bottom w:val="single" w:sz="4" w:space="0" w:color="000000"/>
            </w:tcBorders>
            <w:shd w:val="clear" w:color="auto" w:fill="auto"/>
          </w:tcPr>
          <w:p w:rsidR="00A004BD" w:rsidRDefault="00A004BD">
            <w:pPr>
              <w:widowControl w:val="0"/>
              <w:shd w:val="clear" w:color="auto" w:fill="FFFFFF"/>
              <w:tabs>
                <w:tab w:val="left" w:pos="1980"/>
              </w:tabs>
              <w:autoSpaceDE w:val="0"/>
              <w:rPr>
                <w:rStyle w:val="apple-style-span"/>
                <w:rFonts w:eastAsia="Calibri"/>
                <w:szCs w:val="24"/>
              </w:rPr>
            </w:pPr>
            <w:r>
              <w:rPr>
                <w:rStyle w:val="apple-style-span"/>
                <w:rFonts w:eastAsia="Calibri"/>
                <w:b/>
                <w:szCs w:val="24"/>
              </w:rPr>
              <w:t>IX.</w:t>
            </w:r>
          </w:p>
        </w:tc>
        <w:tc>
          <w:tcPr>
            <w:tcW w:w="2267" w:type="dxa"/>
            <w:tcBorders>
              <w:top w:val="single" w:sz="4" w:space="0" w:color="000000"/>
              <w:left w:val="single" w:sz="4" w:space="0" w:color="000000"/>
              <w:bottom w:val="single" w:sz="4" w:space="0" w:color="000000"/>
            </w:tcBorders>
            <w:shd w:val="clear" w:color="auto" w:fill="auto"/>
          </w:tcPr>
          <w:p w:rsidR="00A004BD" w:rsidRDefault="00A004BD">
            <w:pPr>
              <w:pStyle w:val="Antrat2"/>
              <w:numPr>
                <w:ilvl w:val="0"/>
                <w:numId w:val="0"/>
              </w:numPr>
              <w:spacing w:before="0" w:after="0"/>
              <w:rPr>
                <w:rStyle w:val="apple-style-span"/>
                <w:rFonts w:eastAsia="Calibri"/>
                <w:sz w:val="24"/>
                <w:szCs w:val="24"/>
              </w:rPr>
            </w:pPr>
            <w:r>
              <w:rPr>
                <w:rStyle w:val="apple-style-span"/>
                <w:rFonts w:ascii="Times New Roman" w:eastAsia="Calibri" w:hAnsi="Times New Roman"/>
                <w:b w:val="0"/>
                <w:i w:val="0"/>
                <w:sz w:val="24"/>
                <w:szCs w:val="24"/>
              </w:rPr>
              <w:t>Sunaudotų ir parduotų atsargų savikaina</w:t>
            </w:r>
          </w:p>
        </w:tc>
        <w:tc>
          <w:tcPr>
            <w:tcW w:w="5671" w:type="dxa"/>
            <w:tcBorders>
              <w:top w:val="single" w:sz="4" w:space="0" w:color="000000"/>
              <w:left w:val="single" w:sz="4" w:space="0" w:color="000000"/>
              <w:bottom w:val="single" w:sz="4" w:space="0" w:color="000000"/>
            </w:tcBorders>
            <w:shd w:val="clear" w:color="auto" w:fill="auto"/>
          </w:tcPr>
          <w:p w:rsidR="00A004BD" w:rsidRDefault="00A004BD">
            <w:pPr>
              <w:widowControl w:val="0"/>
              <w:shd w:val="clear" w:color="auto" w:fill="FFFFFF"/>
              <w:tabs>
                <w:tab w:val="left" w:pos="1980"/>
              </w:tabs>
              <w:autoSpaceDE w:val="0"/>
              <w:rPr>
                <w:rFonts w:cs="Times New Roman"/>
                <w:color w:val="000000"/>
                <w:spacing w:val="-1"/>
                <w:w w:val="103"/>
                <w:szCs w:val="24"/>
              </w:rPr>
            </w:pPr>
            <w:r>
              <w:rPr>
                <w:rStyle w:val="apple-style-span"/>
                <w:rFonts w:eastAsia="Calibri"/>
                <w:b/>
                <w:szCs w:val="24"/>
              </w:rPr>
              <w:t>Aiškinamojo rašto lentelės „Ataskaitinio laikotarpio informacija pagal veiklos segmentus“ eilutės „1.9. Sunaudotų ir parduotų atsargų savikaina“ stulpelio „13. Iš viso“ suma.</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rsidR="00A004BD" w:rsidRDefault="00A004BD">
            <w:pPr>
              <w:pStyle w:val="Antrat2"/>
              <w:numPr>
                <w:ilvl w:val="0"/>
                <w:numId w:val="0"/>
              </w:numPr>
              <w:spacing w:before="0" w:after="0"/>
            </w:pPr>
            <w:r>
              <w:rPr>
                <w:rFonts w:ascii="Times New Roman" w:hAnsi="Times New Roman" w:cs="Times New Roman"/>
                <w:b w:val="0"/>
                <w:i w:val="0"/>
                <w:color w:val="000000"/>
                <w:spacing w:val="-1"/>
                <w:w w:val="103"/>
                <w:sz w:val="24"/>
                <w:szCs w:val="24"/>
              </w:rPr>
              <w:t>Sumos turi sutapti</w:t>
            </w:r>
          </w:p>
        </w:tc>
      </w:tr>
      <w:tr w:rsidR="00A004BD">
        <w:trPr>
          <w:cantSplit/>
        </w:trPr>
        <w:tc>
          <w:tcPr>
            <w:tcW w:w="675" w:type="dxa"/>
            <w:tcBorders>
              <w:top w:val="single" w:sz="4" w:space="0" w:color="000000"/>
              <w:left w:val="single" w:sz="4" w:space="0" w:color="000000"/>
              <w:bottom w:val="single" w:sz="4" w:space="0" w:color="000000"/>
            </w:tcBorders>
            <w:shd w:val="clear" w:color="auto" w:fill="auto"/>
          </w:tcPr>
          <w:p w:rsidR="00A004BD" w:rsidRDefault="00A004BD">
            <w:pPr>
              <w:widowControl w:val="0"/>
              <w:shd w:val="clear" w:color="auto" w:fill="FFFFFF"/>
              <w:tabs>
                <w:tab w:val="left" w:pos="1980"/>
              </w:tabs>
              <w:autoSpaceDE w:val="0"/>
              <w:rPr>
                <w:rStyle w:val="apple-style-span"/>
                <w:rFonts w:eastAsia="Calibri"/>
                <w:szCs w:val="24"/>
              </w:rPr>
            </w:pPr>
            <w:r>
              <w:rPr>
                <w:rStyle w:val="apple-style-span"/>
                <w:rFonts w:eastAsia="Calibri"/>
                <w:b/>
                <w:szCs w:val="24"/>
              </w:rPr>
              <w:lastRenderedPageBreak/>
              <w:t>X.</w:t>
            </w:r>
          </w:p>
        </w:tc>
        <w:tc>
          <w:tcPr>
            <w:tcW w:w="2267" w:type="dxa"/>
            <w:tcBorders>
              <w:top w:val="single" w:sz="4" w:space="0" w:color="000000"/>
              <w:left w:val="single" w:sz="4" w:space="0" w:color="000000"/>
              <w:bottom w:val="single" w:sz="4" w:space="0" w:color="000000"/>
            </w:tcBorders>
            <w:shd w:val="clear" w:color="auto" w:fill="auto"/>
          </w:tcPr>
          <w:p w:rsidR="00A004BD" w:rsidRDefault="00A004BD">
            <w:pPr>
              <w:pStyle w:val="Antrat2"/>
              <w:numPr>
                <w:ilvl w:val="0"/>
                <w:numId w:val="0"/>
              </w:numPr>
              <w:spacing w:before="0" w:after="0"/>
              <w:rPr>
                <w:rStyle w:val="apple-style-span"/>
                <w:rFonts w:eastAsia="Calibri"/>
                <w:sz w:val="24"/>
                <w:szCs w:val="24"/>
              </w:rPr>
            </w:pPr>
            <w:r>
              <w:rPr>
                <w:rStyle w:val="apple-style-span"/>
                <w:rFonts w:ascii="Times New Roman" w:eastAsia="Calibri" w:hAnsi="Times New Roman"/>
                <w:b w:val="0"/>
                <w:i w:val="0"/>
                <w:sz w:val="24"/>
                <w:szCs w:val="24"/>
              </w:rPr>
              <w:t>Socialinės išmokos</w:t>
            </w:r>
          </w:p>
        </w:tc>
        <w:tc>
          <w:tcPr>
            <w:tcW w:w="5671" w:type="dxa"/>
            <w:tcBorders>
              <w:top w:val="single" w:sz="4" w:space="0" w:color="000000"/>
              <w:left w:val="single" w:sz="4" w:space="0" w:color="000000"/>
              <w:bottom w:val="single" w:sz="4" w:space="0" w:color="000000"/>
            </w:tcBorders>
            <w:shd w:val="clear" w:color="auto" w:fill="auto"/>
          </w:tcPr>
          <w:p w:rsidR="00A004BD" w:rsidRDefault="00A004BD">
            <w:pPr>
              <w:widowControl w:val="0"/>
              <w:shd w:val="clear" w:color="auto" w:fill="FFFFFF"/>
              <w:tabs>
                <w:tab w:val="left" w:pos="1980"/>
              </w:tabs>
              <w:autoSpaceDE w:val="0"/>
              <w:rPr>
                <w:rFonts w:cs="Times New Roman"/>
                <w:color w:val="000000"/>
                <w:spacing w:val="-1"/>
                <w:w w:val="103"/>
                <w:szCs w:val="24"/>
              </w:rPr>
            </w:pPr>
            <w:r>
              <w:rPr>
                <w:rStyle w:val="apple-style-span"/>
                <w:rFonts w:eastAsia="Calibri"/>
                <w:b/>
                <w:szCs w:val="24"/>
              </w:rPr>
              <w:t>Aiškinamojo rašto lentelės „Ataskaitinio laikotarpio informacija pagal veiklos segmentus“ eilutės „1.10. Socialinių išmokų“ stulpelio „13. Iš viso“ suma.</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rsidR="00A004BD" w:rsidRDefault="00A004BD">
            <w:pPr>
              <w:pStyle w:val="Antrat2"/>
              <w:numPr>
                <w:ilvl w:val="0"/>
                <w:numId w:val="0"/>
              </w:numPr>
              <w:spacing w:before="0" w:after="0"/>
            </w:pPr>
            <w:r>
              <w:rPr>
                <w:rFonts w:ascii="Times New Roman" w:hAnsi="Times New Roman" w:cs="Times New Roman"/>
                <w:b w:val="0"/>
                <w:i w:val="0"/>
                <w:color w:val="000000"/>
                <w:spacing w:val="-1"/>
                <w:w w:val="103"/>
                <w:sz w:val="24"/>
                <w:szCs w:val="24"/>
              </w:rPr>
              <w:t>Sumos turi sutapti</w:t>
            </w:r>
          </w:p>
        </w:tc>
      </w:tr>
      <w:tr w:rsidR="00A004BD">
        <w:trPr>
          <w:cantSplit/>
        </w:trPr>
        <w:tc>
          <w:tcPr>
            <w:tcW w:w="675" w:type="dxa"/>
            <w:tcBorders>
              <w:top w:val="single" w:sz="4" w:space="0" w:color="000000"/>
              <w:left w:val="single" w:sz="4" w:space="0" w:color="000000"/>
              <w:bottom w:val="single" w:sz="4" w:space="0" w:color="000000"/>
            </w:tcBorders>
            <w:shd w:val="clear" w:color="auto" w:fill="auto"/>
          </w:tcPr>
          <w:p w:rsidR="00A004BD" w:rsidRDefault="00A004BD">
            <w:pPr>
              <w:widowControl w:val="0"/>
              <w:shd w:val="clear" w:color="auto" w:fill="FFFFFF"/>
              <w:tabs>
                <w:tab w:val="left" w:pos="1980"/>
              </w:tabs>
              <w:autoSpaceDE w:val="0"/>
              <w:rPr>
                <w:rStyle w:val="apple-style-span"/>
                <w:rFonts w:eastAsia="Calibri"/>
                <w:szCs w:val="24"/>
              </w:rPr>
            </w:pPr>
            <w:r>
              <w:rPr>
                <w:rStyle w:val="apple-style-span"/>
                <w:rFonts w:eastAsia="Calibri"/>
                <w:b/>
                <w:szCs w:val="24"/>
              </w:rPr>
              <w:t>XI.</w:t>
            </w:r>
          </w:p>
        </w:tc>
        <w:tc>
          <w:tcPr>
            <w:tcW w:w="2267" w:type="dxa"/>
            <w:tcBorders>
              <w:top w:val="single" w:sz="4" w:space="0" w:color="000000"/>
              <w:left w:val="single" w:sz="4" w:space="0" w:color="000000"/>
              <w:bottom w:val="single" w:sz="4" w:space="0" w:color="000000"/>
            </w:tcBorders>
            <w:shd w:val="clear" w:color="auto" w:fill="auto"/>
          </w:tcPr>
          <w:p w:rsidR="00A004BD" w:rsidRDefault="00A004BD">
            <w:pPr>
              <w:pStyle w:val="Antrat2"/>
              <w:numPr>
                <w:ilvl w:val="0"/>
                <w:numId w:val="0"/>
              </w:numPr>
              <w:spacing w:before="0" w:after="0"/>
              <w:rPr>
                <w:rStyle w:val="apple-style-span"/>
                <w:rFonts w:eastAsia="Calibri"/>
                <w:sz w:val="24"/>
                <w:szCs w:val="24"/>
              </w:rPr>
            </w:pPr>
            <w:r>
              <w:rPr>
                <w:rStyle w:val="apple-style-span"/>
                <w:rFonts w:ascii="Times New Roman" w:eastAsia="Calibri" w:hAnsi="Times New Roman"/>
                <w:b w:val="0"/>
                <w:i w:val="0"/>
                <w:sz w:val="24"/>
                <w:szCs w:val="24"/>
              </w:rPr>
              <w:t>Nuoma</w:t>
            </w:r>
          </w:p>
        </w:tc>
        <w:tc>
          <w:tcPr>
            <w:tcW w:w="5671" w:type="dxa"/>
            <w:tcBorders>
              <w:top w:val="single" w:sz="4" w:space="0" w:color="000000"/>
              <w:left w:val="single" w:sz="4" w:space="0" w:color="000000"/>
              <w:bottom w:val="single" w:sz="4" w:space="0" w:color="000000"/>
            </w:tcBorders>
            <w:shd w:val="clear" w:color="auto" w:fill="auto"/>
          </w:tcPr>
          <w:p w:rsidR="00A004BD" w:rsidRDefault="00A004BD">
            <w:pPr>
              <w:widowControl w:val="0"/>
              <w:shd w:val="clear" w:color="auto" w:fill="FFFFFF"/>
              <w:tabs>
                <w:tab w:val="left" w:pos="1980"/>
              </w:tabs>
              <w:autoSpaceDE w:val="0"/>
              <w:rPr>
                <w:rFonts w:cs="Times New Roman"/>
                <w:color w:val="000000"/>
                <w:spacing w:val="-1"/>
                <w:w w:val="103"/>
                <w:szCs w:val="24"/>
              </w:rPr>
            </w:pPr>
            <w:r>
              <w:rPr>
                <w:rStyle w:val="apple-style-span"/>
                <w:rFonts w:eastAsia="Calibri"/>
                <w:b/>
                <w:szCs w:val="24"/>
              </w:rPr>
              <w:t>Aiškinamojo rašto lentelės „Ataskaitinio laikotarpio informacija pagal veiklos segmentus“ eilutės „1.11. Nuomos“ stulpelio „13. Iš viso“ sumai.</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rsidR="00A004BD" w:rsidRDefault="00A004BD">
            <w:pPr>
              <w:pStyle w:val="Antrat2"/>
              <w:numPr>
                <w:ilvl w:val="0"/>
                <w:numId w:val="0"/>
              </w:numPr>
              <w:spacing w:before="0" w:after="0"/>
            </w:pPr>
            <w:r>
              <w:rPr>
                <w:rFonts w:ascii="Times New Roman" w:hAnsi="Times New Roman" w:cs="Times New Roman"/>
                <w:b w:val="0"/>
                <w:i w:val="0"/>
                <w:color w:val="000000"/>
                <w:spacing w:val="-1"/>
                <w:w w:val="103"/>
                <w:sz w:val="24"/>
                <w:szCs w:val="24"/>
              </w:rPr>
              <w:t>Sumos turi sutapti</w:t>
            </w:r>
          </w:p>
        </w:tc>
      </w:tr>
      <w:tr w:rsidR="00A004BD">
        <w:trPr>
          <w:cantSplit/>
        </w:trPr>
        <w:tc>
          <w:tcPr>
            <w:tcW w:w="675" w:type="dxa"/>
            <w:tcBorders>
              <w:top w:val="single" w:sz="4" w:space="0" w:color="000000"/>
              <w:left w:val="single" w:sz="4" w:space="0" w:color="000000"/>
              <w:bottom w:val="single" w:sz="4" w:space="0" w:color="000000"/>
            </w:tcBorders>
            <w:shd w:val="clear" w:color="auto" w:fill="auto"/>
          </w:tcPr>
          <w:p w:rsidR="00A004BD" w:rsidRDefault="00A004BD">
            <w:pPr>
              <w:widowControl w:val="0"/>
              <w:shd w:val="clear" w:color="auto" w:fill="FFFFFF"/>
              <w:tabs>
                <w:tab w:val="left" w:pos="1980"/>
              </w:tabs>
              <w:autoSpaceDE w:val="0"/>
              <w:rPr>
                <w:rStyle w:val="apple-style-span"/>
                <w:rFonts w:eastAsia="Calibri"/>
                <w:szCs w:val="24"/>
              </w:rPr>
            </w:pPr>
            <w:r>
              <w:rPr>
                <w:rStyle w:val="apple-style-span"/>
                <w:rFonts w:eastAsia="Calibri"/>
                <w:b/>
                <w:szCs w:val="24"/>
              </w:rPr>
              <w:t>XII.</w:t>
            </w:r>
          </w:p>
        </w:tc>
        <w:tc>
          <w:tcPr>
            <w:tcW w:w="2267" w:type="dxa"/>
            <w:tcBorders>
              <w:top w:val="single" w:sz="4" w:space="0" w:color="000000"/>
              <w:left w:val="single" w:sz="4" w:space="0" w:color="000000"/>
              <w:bottom w:val="single" w:sz="4" w:space="0" w:color="000000"/>
            </w:tcBorders>
            <w:shd w:val="clear" w:color="auto" w:fill="auto"/>
          </w:tcPr>
          <w:p w:rsidR="00A004BD" w:rsidRDefault="00A004BD">
            <w:pPr>
              <w:pStyle w:val="Antrat2"/>
              <w:numPr>
                <w:ilvl w:val="0"/>
                <w:numId w:val="0"/>
              </w:numPr>
              <w:spacing w:before="0" w:after="0"/>
              <w:rPr>
                <w:rStyle w:val="apple-style-span"/>
                <w:rFonts w:eastAsia="Calibri"/>
                <w:sz w:val="24"/>
                <w:szCs w:val="24"/>
              </w:rPr>
            </w:pPr>
            <w:r>
              <w:rPr>
                <w:rStyle w:val="apple-style-span"/>
                <w:rFonts w:ascii="Times New Roman" w:eastAsia="Calibri" w:hAnsi="Times New Roman"/>
                <w:b w:val="0"/>
                <w:i w:val="0"/>
                <w:sz w:val="24"/>
                <w:szCs w:val="24"/>
              </w:rPr>
              <w:t>Finansavimas</w:t>
            </w:r>
          </w:p>
        </w:tc>
        <w:tc>
          <w:tcPr>
            <w:tcW w:w="5671" w:type="dxa"/>
            <w:tcBorders>
              <w:top w:val="single" w:sz="4" w:space="0" w:color="000000"/>
              <w:left w:val="single" w:sz="4" w:space="0" w:color="000000"/>
              <w:bottom w:val="single" w:sz="4" w:space="0" w:color="000000"/>
            </w:tcBorders>
            <w:shd w:val="clear" w:color="auto" w:fill="auto"/>
          </w:tcPr>
          <w:p w:rsidR="00A004BD" w:rsidRDefault="00A004BD">
            <w:pPr>
              <w:widowControl w:val="0"/>
              <w:shd w:val="clear" w:color="auto" w:fill="FFFFFF"/>
              <w:tabs>
                <w:tab w:val="left" w:pos="1980"/>
              </w:tabs>
              <w:autoSpaceDE w:val="0"/>
              <w:rPr>
                <w:rFonts w:cs="Times New Roman"/>
                <w:color w:val="000000"/>
                <w:spacing w:val="-1"/>
                <w:w w:val="103"/>
                <w:szCs w:val="24"/>
              </w:rPr>
            </w:pPr>
            <w:r>
              <w:rPr>
                <w:rStyle w:val="apple-style-span"/>
                <w:rFonts w:eastAsia="Calibri"/>
                <w:b/>
                <w:szCs w:val="24"/>
              </w:rPr>
              <w:t>Aiškinamojo rašto lentelės „Ataskaitinio laikotarpio informacija pagal veiklos segmentus“ eilutės „1.12. Finansavimo“ stulpelio „13. Iš viso“ sumai.</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rsidR="00A004BD" w:rsidRDefault="00A004BD">
            <w:pPr>
              <w:pStyle w:val="Antrat2"/>
              <w:numPr>
                <w:ilvl w:val="0"/>
                <w:numId w:val="0"/>
              </w:numPr>
              <w:spacing w:before="0" w:after="0"/>
            </w:pPr>
            <w:r>
              <w:rPr>
                <w:rFonts w:ascii="Times New Roman" w:hAnsi="Times New Roman" w:cs="Times New Roman"/>
                <w:b w:val="0"/>
                <w:i w:val="0"/>
                <w:color w:val="000000"/>
                <w:spacing w:val="-1"/>
                <w:w w:val="103"/>
                <w:sz w:val="24"/>
                <w:szCs w:val="24"/>
              </w:rPr>
              <w:t>Sumos turi sutapti</w:t>
            </w:r>
          </w:p>
        </w:tc>
      </w:tr>
      <w:tr w:rsidR="00A004BD">
        <w:trPr>
          <w:cantSplit/>
        </w:trPr>
        <w:tc>
          <w:tcPr>
            <w:tcW w:w="675" w:type="dxa"/>
            <w:tcBorders>
              <w:top w:val="single" w:sz="4" w:space="0" w:color="000000"/>
              <w:left w:val="single" w:sz="4" w:space="0" w:color="000000"/>
              <w:bottom w:val="single" w:sz="4" w:space="0" w:color="000000"/>
            </w:tcBorders>
            <w:shd w:val="clear" w:color="auto" w:fill="auto"/>
          </w:tcPr>
          <w:p w:rsidR="00A004BD" w:rsidRDefault="00A004BD">
            <w:pPr>
              <w:widowControl w:val="0"/>
              <w:shd w:val="clear" w:color="auto" w:fill="FFFFFF"/>
              <w:tabs>
                <w:tab w:val="left" w:pos="1980"/>
              </w:tabs>
              <w:autoSpaceDE w:val="0"/>
              <w:ind w:right="-109"/>
              <w:rPr>
                <w:rStyle w:val="apple-style-span"/>
                <w:rFonts w:eastAsia="Calibri"/>
                <w:szCs w:val="24"/>
              </w:rPr>
            </w:pPr>
            <w:r>
              <w:rPr>
                <w:rStyle w:val="apple-style-span"/>
                <w:rFonts w:eastAsia="Calibri"/>
                <w:b/>
                <w:szCs w:val="24"/>
              </w:rPr>
              <w:t>XIII.</w:t>
            </w:r>
          </w:p>
        </w:tc>
        <w:tc>
          <w:tcPr>
            <w:tcW w:w="2267" w:type="dxa"/>
            <w:tcBorders>
              <w:top w:val="single" w:sz="4" w:space="0" w:color="000000"/>
              <w:left w:val="single" w:sz="4" w:space="0" w:color="000000"/>
              <w:bottom w:val="single" w:sz="4" w:space="0" w:color="000000"/>
            </w:tcBorders>
            <w:shd w:val="clear" w:color="auto" w:fill="auto"/>
          </w:tcPr>
          <w:p w:rsidR="00A004BD" w:rsidRDefault="00A004BD">
            <w:pPr>
              <w:pStyle w:val="Antrat2"/>
              <w:numPr>
                <w:ilvl w:val="0"/>
                <w:numId w:val="0"/>
              </w:numPr>
              <w:spacing w:before="0" w:after="0"/>
              <w:rPr>
                <w:rStyle w:val="apple-style-span"/>
                <w:rFonts w:eastAsia="Calibri"/>
                <w:sz w:val="24"/>
                <w:szCs w:val="24"/>
              </w:rPr>
            </w:pPr>
            <w:r>
              <w:rPr>
                <w:rStyle w:val="apple-style-span"/>
                <w:rFonts w:ascii="Times New Roman" w:eastAsia="Calibri" w:hAnsi="Times New Roman"/>
                <w:b w:val="0"/>
                <w:i w:val="0"/>
                <w:sz w:val="24"/>
                <w:szCs w:val="24"/>
              </w:rPr>
              <w:t>Kitos paslaugos</w:t>
            </w:r>
          </w:p>
        </w:tc>
        <w:tc>
          <w:tcPr>
            <w:tcW w:w="5671" w:type="dxa"/>
            <w:tcBorders>
              <w:top w:val="single" w:sz="4" w:space="0" w:color="000000"/>
              <w:left w:val="single" w:sz="4" w:space="0" w:color="000000"/>
              <w:bottom w:val="single" w:sz="4" w:space="0" w:color="000000"/>
            </w:tcBorders>
            <w:shd w:val="clear" w:color="auto" w:fill="auto"/>
          </w:tcPr>
          <w:p w:rsidR="00A004BD" w:rsidRDefault="00A004BD">
            <w:pPr>
              <w:widowControl w:val="0"/>
              <w:shd w:val="clear" w:color="auto" w:fill="FFFFFF"/>
              <w:tabs>
                <w:tab w:val="left" w:pos="1980"/>
              </w:tabs>
              <w:autoSpaceDE w:val="0"/>
              <w:rPr>
                <w:rFonts w:cs="Times New Roman"/>
                <w:color w:val="000000"/>
                <w:spacing w:val="-1"/>
                <w:w w:val="103"/>
                <w:szCs w:val="24"/>
              </w:rPr>
            </w:pPr>
            <w:r>
              <w:rPr>
                <w:rStyle w:val="apple-style-span"/>
                <w:rFonts w:eastAsia="Calibri"/>
                <w:b/>
                <w:szCs w:val="24"/>
              </w:rPr>
              <w:t>Aiškinamojo rašto lentelės „Ataskaitinio laikotarpio informacija pagal veiklos segmentus“ eilutės „1.13. Kitų paslaugų“ stulpelio „13. Iš viso“ suma.</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rsidR="00A004BD" w:rsidRDefault="00A004BD">
            <w:pPr>
              <w:pStyle w:val="Antrat2"/>
              <w:numPr>
                <w:ilvl w:val="0"/>
                <w:numId w:val="0"/>
              </w:numPr>
              <w:spacing w:before="0" w:after="0"/>
            </w:pPr>
            <w:r>
              <w:rPr>
                <w:rFonts w:ascii="Times New Roman" w:hAnsi="Times New Roman" w:cs="Times New Roman"/>
                <w:b w:val="0"/>
                <w:i w:val="0"/>
                <w:color w:val="000000"/>
                <w:spacing w:val="-1"/>
                <w:w w:val="103"/>
                <w:sz w:val="24"/>
                <w:szCs w:val="24"/>
              </w:rPr>
              <w:t>Sumos turi sutapti</w:t>
            </w:r>
          </w:p>
        </w:tc>
      </w:tr>
      <w:tr w:rsidR="00A004BD">
        <w:trPr>
          <w:cantSplit/>
        </w:trPr>
        <w:tc>
          <w:tcPr>
            <w:tcW w:w="675" w:type="dxa"/>
            <w:tcBorders>
              <w:top w:val="single" w:sz="4" w:space="0" w:color="000000"/>
              <w:left w:val="single" w:sz="4" w:space="0" w:color="000000"/>
              <w:bottom w:val="single" w:sz="4" w:space="0" w:color="000000"/>
            </w:tcBorders>
            <w:shd w:val="clear" w:color="auto" w:fill="auto"/>
          </w:tcPr>
          <w:p w:rsidR="00A004BD" w:rsidRDefault="00A004BD">
            <w:pPr>
              <w:widowControl w:val="0"/>
              <w:shd w:val="clear" w:color="auto" w:fill="FFFFFF"/>
              <w:tabs>
                <w:tab w:val="left" w:pos="1980"/>
              </w:tabs>
              <w:autoSpaceDE w:val="0"/>
              <w:ind w:right="-109"/>
              <w:rPr>
                <w:rStyle w:val="apple-style-span"/>
                <w:rFonts w:eastAsia="Calibri"/>
                <w:szCs w:val="24"/>
              </w:rPr>
            </w:pPr>
            <w:r>
              <w:rPr>
                <w:rStyle w:val="apple-style-span"/>
                <w:rFonts w:eastAsia="Calibri"/>
                <w:b/>
                <w:szCs w:val="24"/>
              </w:rPr>
              <w:t>XIV.</w:t>
            </w:r>
          </w:p>
        </w:tc>
        <w:tc>
          <w:tcPr>
            <w:tcW w:w="2267" w:type="dxa"/>
            <w:tcBorders>
              <w:top w:val="single" w:sz="4" w:space="0" w:color="000000"/>
              <w:left w:val="single" w:sz="4" w:space="0" w:color="000000"/>
              <w:bottom w:val="single" w:sz="4" w:space="0" w:color="000000"/>
            </w:tcBorders>
            <w:shd w:val="clear" w:color="auto" w:fill="auto"/>
          </w:tcPr>
          <w:p w:rsidR="00A004BD" w:rsidRDefault="00A004BD">
            <w:pPr>
              <w:pStyle w:val="Antrat2"/>
              <w:numPr>
                <w:ilvl w:val="0"/>
                <w:numId w:val="0"/>
              </w:numPr>
              <w:spacing w:before="0" w:after="0"/>
              <w:rPr>
                <w:rStyle w:val="apple-style-span"/>
                <w:rFonts w:eastAsia="Calibri"/>
                <w:sz w:val="24"/>
                <w:szCs w:val="24"/>
              </w:rPr>
            </w:pPr>
            <w:r>
              <w:rPr>
                <w:rStyle w:val="apple-style-span"/>
                <w:rFonts w:ascii="Times New Roman" w:eastAsia="Calibri" w:hAnsi="Times New Roman"/>
                <w:b w:val="0"/>
                <w:i w:val="0"/>
                <w:sz w:val="24"/>
                <w:szCs w:val="24"/>
              </w:rPr>
              <w:t>Kitos</w:t>
            </w:r>
          </w:p>
        </w:tc>
        <w:tc>
          <w:tcPr>
            <w:tcW w:w="5671" w:type="dxa"/>
            <w:tcBorders>
              <w:top w:val="single" w:sz="4" w:space="0" w:color="000000"/>
              <w:left w:val="single" w:sz="4" w:space="0" w:color="000000"/>
              <w:bottom w:val="single" w:sz="4" w:space="0" w:color="000000"/>
            </w:tcBorders>
            <w:shd w:val="clear" w:color="auto" w:fill="auto"/>
          </w:tcPr>
          <w:p w:rsidR="00A004BD" w:rsidRDefault="00A004BD">
            <w:pPr>
              <w:widowControl w:val="0"/>
              <w:shd w:val="clear" w:color="auto" w:fill="FFFFFF"/>
              <w:tabs>
                <w:tab w:val="left" w:pos="1980"/>
              </w:tabs>
              <w:autoSpaceDE w:val="0"/>
              <w:rPr>
                <w:rFonts w:cs="Times New Roman"/>
                <w:color w:val="000000"/>
                <w:spacing w:val="-1"/>
                <w:w w:val="103"/>
                <w:szCs w:val="24"/>
              </w:rPr>
            </w:pPr>
            <w:r>
              <w:rPr>
                <w:rStyle w:val="apple-style-span"/>
                <w:rFonts w:eastAsia="Calibri"/>
                <w:b/>
                <w:szCs w:val="24"/>
              </w:rPr>
              <w:t>Aiškinamojo rašto lentelės „Ataskaitinio laikotarpio informacija pagal veiklos segmentus“ eilutės „1.14. Kitos“ stulpelio „13. Iš viso“ sumai.</w:t>
            </w:r>
            <w:r>
              <w:rPr>
                <w:rStyle w:val="apple-style-span"/>
                <w:rFonts w:eastAsia="Calibri"/>
                <w:b/>
                <w:i/>
                <w:szCs w:val="24"/>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rsidR="00A004BD" w:rsidRDefault="00A004BD">
            <w:pPr>
              <w:pStyle w:val="Antrat2"/>
              <w:numPr>
                <w:ilvl w:val="0"/>
                <w:numId w:val="0"/>
              </w:numPr>
              <w:spacing w:before="0" w:after="0"/>
            </w:pPr>
            <w:r>
              <w:rPr>
                <w:rFonts w:ascii="Times New Roman" w:hAnsi="Times New Roman" w:cs="Times New Roman"/>
                <w:b w:val="0"/>
                <w:i w:val="0"/>
                <w:color w:val="000000"/>
                <w:spacing w:val="-1"/>
                <w:w w:val="103"/>
                <w:sz w:val="24"/>
                <w:szCs w:val="24"/>
              </w:rPr>
              <w:t>Sumos turi sutapti</w:t>
            </w:r>
          </w:p>
        </w:tc>
      </w:tr>
      <w:tr w:rsidR="00A004BD">
        <w:trPr>
          <w:cantSplit/>
        </w:trPr>
        <w:tc>
          <w:tcPr>
            <w:tcW w:w="675" w:type="dxa"/>
            <w:tcBorders>
              <w:top w:val="single" w:sz="4" w:space="0" w:color="000000"/>
              <w:left w:val="single" w:sz="4" w:space="0" w:color="000000"/>
              <w:bottom w:val="single" w:sz="4" w:space="0" w:color="000000"/>
            </w:tcBorders>
            <w:shd w:val="clear" w:color="auto" w:fill="auto"/>
          </w:tcPr>
          <w:p w:rsidR="00A004BD" w:rsidRDefault="00A004BD">
            <w:pPr>
              <w:widowControl w:val="0"/>
              <w:shd w:val="clear" w:color="auto" w:fill="FFFFFF"/>
              <w:tabs>
                <w:tab w:val="left" w:pos="1980"/>
              </w:tabs>
              <w:autoSpaceDE w:val="0"/>
              <w:rPr>
                <w:rStyle w:val="apple-style-span"/>
                <w:rFonts w:eastAsia="Calibri"/>
                <w:szCs w:val="24"/>
              </w:rPr>
            </w:pPr>
            <w:r>
              <w:rPr>
                <w:rStyle w:val="apple-style-span"/>
                <w:rFonts w:eastAsia="Calibri"/>
                <w:b/>
                <w:szCs w:val="24"/>
              </w:rPr>
              <w:t>E</w:t>
            </w:r>
          </w:p>
        </w:tc>
        <w:tc>
          <w:tcPr>
            <w:tcW w:w="2267" w:type="dxa"/>
            <w:tcBorders>
              <w:top w:val="single" w:sz="4" w:space="0" w:color="000000"/>
              <w:left w:val="single" w:sz="4" w:space="0" w:color="000000"/>
              <w:bottom w:val="single" w:sz="4" w:space="0" w:color="000000"/>
            </w:tcBorders>
            <w:shd w:val="clear" w:color="auto" w:fill="auto"/>
          </w:tcPr>
          <w:p w:rsidR="00A004BD" w:rsidRDefault="00A004BD">
            <w:pPr>
              <w:pStyle w:val="Antrat2"/>
              <w:numPr>
                <w:ilvl w:val="0"/>
                <w:numId w:val="0"/>
              </w:numPr>
              <w:spacing w:before="0" w:after="0"/>
              <w:rPr>
                <w:rStyle w:val="apple-style-span"/>
                <w:rFonts w:eastAsia="Calibri"/>
                <w:sz w:val="24"/>
                <w:szCs w:val="24"/>
              </w:rPr>
            </w:pPr>
            <w:r>
              <w:rPr>
                <w:rStyle w:val="apple-style-span"/>
                <w:rFonts w:ascii="Times New Roman" w:eastAsia="Calibri" w:hAnsi="Times New Roman"/>
                <w:b w:val="0"/>
                <w:i w:val="0"/>
                <w:sz w:val="24"/>
                <w:szCs w:val="24"/>
              </w:rPr>
              <w:t>Finansinės ir investicinės veiklos rezultatas</w:t>
            </w:r>
          </w:p>
        </w:tc>
        <w:tc>
          <w:tcPr>
            <w:tcW w:w="5671" w:type="dxa"/>
            <w:tcBorders>
              <w:top w:val="single" w:sz="4" w:space="0" w:color="000000"/>
              <w:left w:val="single" w:sz="4" w:space="0" w:color="000000"/>
              <w:bottom w:val="single" w:sz="4" w:space="0" w:color="000000"/>
            </w:tcBorders>
            <w:shd w:val="clear" w:color="auto" w:fill="auto"/>
          </w:tcPr>
          <w:p w:rsidR="00A004BD" w:rsidRDefault="00A004BD">
            <w:pPr>
              <w:widowControl w:val="0"/>
              <w:shd w:val="clear" w:color="auto" w:fill="FFFFFF"/>
              <w:tabs>
                <w:tab w:val="left" w:pos="1980"/>
              </w:tabs>
              <w:autoSpaceDE w:val="0"/>
              <w:rPr>
                <w:rFonts w:cs="Times New Roman"/>
                <w:color w:val="000000"/>
                <w:spacing w:val="-1"/>
                <w:w w:val="103"/>
                <w:szCs w:val="24"/>
              </w:rPr>
            </w:pPr>
            <w:r>
              <w:rPr>
                <w:rStyle w:val="apple-style-span"/>
                <w:rFonts w:eastAsia="Calibri"/>
                <w:b/>
                <w:szCs w:val="24"/>
              </w:rPr>
              <w:t>Aiškinamojo rašto lentelės „Finansinės ir investicinės veiklos pajamos ir sąnaudos“ eilutės „3. Finansinės ir investicinės veiklos rezultatas“ stulpelio „3. Ataskaitinis laikotarpis“ sumai.</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rsidR="00A004BD" w:rsidRDefault="00A004BD">
            <w:pPr>
              <w:pStyle w:val="Antrat2"/>
              <w:numPr>
                <w:ilvl w:val="0"/>
                <w:numId w:val="0"/>
              </w:numPr>
              <w:spacing w:before="0" w:after="0"/>
            </w:pPr>
            <w:r>
              <w:rPr>
                <w:rFonts w:ascii="Times New Roman" w:hAnsi="Times New Roman" w:cs="Times New Roman"/>
                <w:b w:val="0"/>
                <w:i w:val="0"/>
                <w:color w:val="000000"/>
                <w:spacing w:val="-1"/>
                <w:w w:val="103"/>
                <w:sz w:val="24"/>
                <w:szCs w:val="24"/>
              </w:rPr>
              <w:t>Sumos turi sutapti</w:t>
            </w:r>
          </w:p>
        </w:tc>
      </w:tr>
    </w:tbl>
    <w:p w:rsidR="00A004BD" w:rsidRDefault="00A004BD">
      <w:pPr>
        <w:spacing w:before="120" w:after="120"/>
      </w:pPr>
    </w:p>
    <w:p w:rsidR="00A004BD" w:rsidRDefault="00A004BD">
      <w:pPr>
        <w:rPr>
          <w:szCs w:val="24"/>
        </w:rPr>
      </w:pPr>
    </w:p>
    <w:p w:rsidR="00A004BD" w:rsidRDefault="00A004BD">
      <w:pPr>
        <w:pStyle w:val="Antrat2"/>
        <w:numPr>
          <w:ilvl w:val="0"/>
          <w:numId w:val="0"/>
        </w:numPr>
        <w:spacing w:before="0" w:after="0" w:line="360" w:lineRule="auto"/>
        <w:jc w:val="center"/>
        <w:rPr>
          <w:szCs w:val="24"/>
        </w:rPr>
      </w:pPr>
      <w:bookmarkStart w:id="57" w:name="__RefHeading___Toc286760011"/>
      <w:bookmarkEnd w:id="57"/>
      <w:r>
        <w:rPr>
          <w:rFonts w:ascii="Times New Roman" w:hAnsi="Times New Roman" w:cs="Times New Roman"/>
          <w:i w:val="0"/>
          <w:color w:val="000000"/>
          <w:spacing w:val="-1"/>
          <w:w w:val="103"/>
          <w:sz w:val="24"/>
        </w:rPr>
        <w:t>Biudžeto vykdymo ataskaitų rinkinys</w:t>
      </w:r>
    </w:p>
    <w:p w:rsidR="00A004BD" w:rsidRDefault="00A004BD">
      <w:pPr>
        <w:rPr>
          <w:szCs w:val="24"/>
        </w:rPr>
      </w:pPr>
    </w:p>
    <w:p w:rsidR="00A004BD" w:rsidRDefault="00A004BD">
      <w:pPr>
        <w:widowControl w:val="0"/>
        <w:numPr>
          <w:ilvl w:val="0"/>
          <w:numId w:val="2"/>
        </w:numPr>
        <w:shd w:val="clear" w:color="auto" w:fill="FFFFFF"/>
        <w:tabs>
          <w:tab w:val="left" w:pos="1980"/>
        </w:tabs>
        <w:autoSpaceDE w:val="0"/>
        <w:spacing w:line="360" w:lineRule="auto"/>
        <w:jc w:val="both"/>
      </w:pPr>
      <w:r>
        <w:rPr>
          <w:rFonts w:cs="Times New Roman"/>
          <w:szCs w:val="24"/>
        </w:rPr>
        <w:t>L/d „Žilvitis“</w:t>
      </w:r>
      <w:r>
        <w:rPr>
          <w:szCs w:val="24"/>
        </w:rPr>
        <w:t xml:space="preserve"> </w:t>
      </w:r>
      <w:r>
        <w:rPr>
          <w:rFonts w:cs="Times New Roman"/>
          <w:szCs w:val="24"/>
        </w:rPr>
        <w:t xml:space="preserve"> biudžeto vykdymo ataskaitų rinkinys sudaromas ir teikiamas vadovaujantis Lietuvos Respublikos biudžeto sandaros įstatymu, Lietuvos Respublikos valstybės iždo įstatymu, Lietuvos Respublikos viešojo sektoriaus atskaitomybės įstatymu, Lietuvos Respublikos finansų ministro įsakymais ir kitais reglamentuojančiais teisės aktais. </w:t>
      </w:r>
    </w:p>
    <w:p w:rsidR="00A004BD" w:rsidRDefault="00A004BD">
      <w:pPr>
        <w:widowControl w:val="0"/>
        <w:shd w:val="clear" w:color="auto" w:fill="FFFFFF"/>
        <w:tabs>
          <w:tab w:val="left" w:pos="540"/>
        </w:tabs>
        <w:autoSpaceDE w:val="0"/>
        <w:spacing w:line="360" w:lineRule="auto"/>
        <w:ind w:right="96"/>
      </w:pPr>
    </w:p>
    <w:p w:rsidR="00A004BD" w:rsidRDefault="00A004BD">
      <w:pPr>
        <w:pStyle w:val="Antrat1"/>
        <w:numPr>
          <w:ilvl w:val="0"/>
          <w:numId w:val="3"/>
        </w:numPr>
        <w:spacing w:before="0" w:after="0" w:line="360" w:lineRule="auto"/>
        <w:jc w:val="center"/>
        <w:rPr>
          <w:rFonts w:ascii="Times New Roman" w:hAnsi="Times New Roman" w:cs="Times New Roman"/>
          <w:color w:val="000000"/>
          <w:spacing w:val="-1"/>
          <w:w w:val="103"/>
          <w:sz w:val="24"/>
        </w:rPr>
      </w:pPr>
      <w:bookmarkStart w:id="58" w:name="__RefHeading___Toc286760012"/>
      <w:bookmarkEnd w:id="58"/>
      <w:r>
        <w:rPr>
          <w:rFonts w:ascii="Times New Roman" w:hAnsi="Times New Roman" w:cs="Times New Roman"/>
          <w:bCs w:val="0"/>
          <w:caps/>
          <w:sz w:val="24"/>
          <w:szCs w:val="24"/>
        </w:rPr>
        <w:t>APSKAITOS ORGANIZAVIMAS</w:t>
      </w:r>
    </w:p>
    <w:p w:rsidR="00A004BD" w:rsidRDefault="00A004BD">
      <w:pPr>
        <w:pStyle w:val="Antrat2"/>
        <w:numPr>
          <w:ilvl w:val="0"/>
          <w:numId w:val="0"/>
        </w:numPr>
        <w:spacing w:before="0" w:after="0" w:line="360" w:lineRule="auto"/>
        <w:ind w:left="360"/>
        <w:rPr>
          <w:rFonts w:ascii="Times New Roman" w:hAnsi="Times New Roman" w:cs="Times New Roman"/>
          <w:i w:val="0"/>
          <w:color w:val="000000"/>
          <w:spacing w:val="-1"/>
          <w:w w:val="103"/>
          <w:sz w:val="24"/>
        </w:rPr>
      </w:pPr>
    </w:p>
    <w:p w:rsidR="00A004BD" w:rsidRDefault="00A004BD">
      <w:pPr>
        <w:pStyle w:val="Antrat2"/>
        <w:numPr>
          <w:ilvl w:val="0"/>
          <w:numId w:val="0"/>
        </w:numPr>
        <w:spacing w:before="0" w:after="0" w:line="360" w:lineRule="auto"/>
        <w:ind w:left="360"/>
        <w:jc w:val="center"/>
        <w:rPr>
          <w:rFonts w:cs="Times New Roman"/>
          <w:szCs w:val="24"/>
        </w:rPr>
      </w:pPr>
      <w:bookmarkStart w:id="59" w:name="__RefHeading___Toc286760013"/>
      <w:bookmarkEnd w:id="59"/>
      <w:r>
        <w:rPr>
          <w:rFonts w:ascii="Times New Roman" w:hAnsi="Times New Roman" w:cs="Times New Roman"/>
          <w:i w:val="0"/>
          <w:color w:val="000000"/>
          <w:spacing w:val="-1"/>
          <w:w w:val="103"/>
          <w:sz w:val="24"/>
        </w:rPr>
        <w:t>Atsakomybė už apskaitos organizavimą</w:t>
      </w:r>
    </w:p>
    <w:p w:rsidR="00A004BD" w:rsidRDefault="00A004BD">
      <w:pPr>
        <w:tabs>
          <w:tab w:val="left" w:pos="1980"/>
        </w:tabs>
        <w:spacing w:line="360" w:lineRule="auto"/>
        <w:ind w:right="96"/>
        <w:jc w:val="both"/>
        <w:rPr>
          <w:rFonts w:cs="Times New Roman"/>
          <w:szCs w:val="24"/>
        </w:rPr>
      </w:pPr>
    </w:p>
    <w:p w:rsidR="00A004BD" w:rsidRDefault="00A004BD">
      <w:pPr>
        <w:widowControl w:val="0"/>
        <w:numPr>
          <w:ilvl w:val="0"/>
          <w:numId w:val="2"/>
        </w:numPr>
        <w:shd w:val="clear" w:color="auto" w:fill="FFFFFF"/>
        <w:tabs>
          <w:tab w:val="left" w:pos="1980"/>
        </w:tabs>
        <w:autoSpaceDE w:val="0"/>
        <w:spacing w:line="360" w:lineRule="auto"/>
        <w:ind w:left="540" w:right="96" w:hanging="540"/>
        <w:jc w:val="both"/>
        <w:rPr>
          <w:rFonts w:cs="Times New Roman"/>
          <w:szCs w:val="24"/>
        </w:rPr>
      </w:pPr>
      <w:r>
        <w:rPr>
          <w:rFonts w:cs="Times New Roman"/>
          <w:szCs w:val="24"/>
        </w:rPr>
        <w:t xml:space="preserve">Pagal Lietuvos Respublikos buhalterinės apskaitos įstatymą, Lietuvos Respublikos viešojo sektoriaus atskaitomybės įstatymą ir  Lietuvos Respublikos finansų ministro įsakymą „Dėl biudžetinių įstaigų apskaitos organizavimo taisyklių patvirtinimo“ už apskaitos organizavimą, apskaitos dokumentų išsaugojimą ir finansinių ataskaitų rinkinio pateikimą laiku atsakingas </w:t>
      </w:r>
      <w:r>
        <w:rPr>
          <w:szCs w:val="24"/>
        </w:rPr>
        <w:t xml:space="preserve">įstaigos </w:t>
      </w:r>
      <w:r>
        <w:rPr>
          <w:rFonts w:cs="Times New Roman"/>
          <w:szCs w:val="24"/>
        </w:rPr>
        <w:t xml:space="preserve"> direktorius.</w:t>
      </w:r>
    </w:p>
    <w:p w:rsidR="00A004BD" w:rsidRDefault="00A004BD">
      <w:pPr>
        <w:widowControl w:val="0"/>
        <w:numPr>
          <w:ilvl w:val="0"/>
          <w:numId w:val="2"/>
        </w:numPr>
        <w:shd w:val="clear" w:color="auto" w:fill="FFFFFF"/>
        <w:tabs>
          <w:tab w:val="left" w:pos="1980"/>
        </w:tabs>
        <w:autoSpaceDE w:val="0"/>
        <w:spacing w:line="360" w:lineRule="auto"/>
        <w:ind w:left="540" w:right="96" w:hanging="540"/>
        <w:jc w:val="both"/>
        <w:rPr>
          <w:rFonts w:cs="Times New Roman"/>
          <w:szCs w:val="24"/>
        </w:rPr>
      </w:pPr>
      <w:r>
        <w:rPr>
          <w:rFonts w:cs="Times New Roman"/>
          <w:szCs w:val="24"/>
        </w:rPr>
        <w:t>Pagal Lietuvos Respublikos buhalterinės apskaitos įstatymą vyriausiasis buhalteris atsako už buhalterinių įrašų teisingumą.</w:t>
      </w:r>
    </w:p>
    <w:p w:rsidR="00A004BD" w:rsidRDefault="00A004BD">
      <w:pPr>
        <w:widowControl w:val="0"/>
        <w:numPr>
          <w:ilvl w:val="0"/>
          <w:numId w:val="2"/>
        </w:numPr>
        <w:shd w:val="clear" w:color="auto" w:fill="FFFFFF"/>
        <w:tabs>
          <w:tab w:val="left" w:pos="1980"/>
        </w:tabs>
        <w:autoSpaceDE w:val="0"/>
        <w:spacing w:line="360" w:lineRule="auto"/>
        <w:jc w:val="both"/>
        <w:rPr>
          <w:rFonts w:cs="Times New Roman"/>
          <w:i/>
          <w:szCs w:val="24"/>
        </w:rPr>
      </w:pPr>
      <w:r>
        <w:rPr>
          <w:rFonts w:cs="Times New Roman"/>
          <w:szCs w:val="24"/>
        </w:rPr>
        <w:t xml:space="preserve">L/d „Žilvitis“ direktorius pasirašo įstaigos finansines ataskaitas. </w:t>
      </w:r>
    </w:p>
    <w:p w:rsidR="00A004BD" w:rsidRDefault="00A004BD">
      <w:pPr>
        <w:tabs>
          <w:tab w:val="left" w:pos="1980"/>
        </w:tabs>
        <w:spacing w:line="360" w:lineRule="auto"/>
        <w:ind w:right="96"/>
        <w:jc w:val="both"/>
        <w:rPr>
          <w:rFonts w:cs="Times New Roman"/>
          <w:i/>
          <w:szCs w:val="24"/>
        </w:rPr>
      </w:pPr>
    </w:p>
    <w:p w:rsidR="00A004BD" w:rsidRDefault="00A004BD">
      <w:pPr>
        <w:pStyle w:val="Antrat2"/>
        <w:numPr>
          <w:ilvl w:val="0"/>
          <w:numId w:val="0"/>
        </w:numPr>
        <w:spacing w:before="0" w:after="0" w:line="360" w:lineRule="auto"/>
        <w:jc w:val="center"/>
        <w:rPr>
          <w:rFonts w:cs="Times New Roman"/>
          <w:szCs w:val="24"/>
        </w:rPr>
      </w:pPr>
      <w:bookmarkStart w:id="60" w:name="__RefHeading___Toc286760014"/>
      <w:bookmarkEnd w:id="60"/>
      <w:r>
        <w:rPr>
          <w:rFonts w:ascii="Times New Roman" w:hAnsi="Times New Roman" w:cs="Times New Roman"/>
          <w:i w:val="0"/>
          <w:color w:val="000000"/>
          <w:spacing w:val="-1"/>
          <w:w w:val="103"/>
          <w:sz w:val="24"/>
        </w:rPr>
        <w:lastRenderedPageBreak/>
        <w:t>Apskaitos tvarkytojas</w:t>
      </w:r>
    </w:p>
    <w:p w:rsidR="00A004BD" w:rsidRDefault="00A004BD">
      <w:pPr>
        <w:tabs>
          <w:tab w:val="left" w:pos="1980"/>
        </w:tabs>
        <w:spacing w:line="360" w:lineRule="auto"/>
        <w:ind w:right="96"/>
        <w:jc w:val="both"/>
        <w:rPr>
          <w:rFonts w:cs="Times New Roman"/>
          <w:szCs w:val="24"/>
        </w:rPr>
      </w:pPr>
    </w:p>
    <w:p w:rsidR="00A004BD" w:rsidRDefault="00A004BD">
      <w:pPr>
        <w:widowControl w:val="0"/>
        <w:numPr>
          <w:ilvl w:val="0"/>
          <w:numId w:val="2"/>
        </w:numPr>
        <w:shd w:val="clear" w:color="auto" w:fill="FFFFFF"/>
        <w:tabs>
          <w:tab w:val="left" w:pos="1980"/>
        </w:tabs>
        <w:autoSpaceDE w:val="0"/>
        <w:spacing w:line="360" w:lineRule="auto"/>
        <w:jc w:val="both"/>
        <w:rPr>
          <w:rFonts w:cs="Times New Roman"/>
          <w:szCs w:val="24"/>
        </w:rPr>
      </w:pPr>
      <w:r>
        <w:rPr>
          <w:rFonts w:cs="Times New Roman"/>
          <w:szCs w:val="24"/>
        </w:rPr>
        <w:t>L/d „Žilvitis“</w:t>
      </w:r>
      <w:r>
        <w:rPr>
          <w:szCs w:val="24"/>
        </w:rPr>
        <w:t xml:space="preserve"> </w:t>
      </w:r>
      <w:r>
        <w:rPr>
          <w:rFonts w:cs="Times New Roman"/>
          <w:szCs w:val="24"/>
        </w:rPr>
        <w:t xml:space="preserve"> buhalterinę apskaitą organizuoja pagal Lietuvos Respublikos finansų ministerijos nustatytas buhalterinės apskaitos organizavimo taisykles.</w:t>
      </w:r>
    </w:p>
    <w:p w:rsidR="00A004BD" w:rsidRDefault="00A004BD">
      <w:pPr>
        <w:widowControl w:val="0"/>
        <w:numPr>
          <w:ilvl w:val="0"/>
          <w:numId w:val="2"/>
        </w:numPr>
        <w:shd w:val="clear" w:color="auto" w:fill="FFFFFF"/>
        <w:tabs>
          <w:tab w:val="left" w:pos="1980"/>
        </w:tabs>
        <w:autoSpaceDE w:val="0"/>
        <w:spacing w:line="360" w:lineRule="auto"/>
        <w:jc w:val="both"/>
        <w:rPr>
          <w:rFonts w:cs="Times New Roman"/>
          <w:szCs w:val="24"/>
        </w:rPr>
      </w:pPr>
      <w:r>
        <w:rPr>
          <w:rFonts w:cs="Times New Roman"/>
          <w:szCs w:val="24"/>
        </w:rPr>
        <w:t>L/d „Žilvitis“</w:t>
      </w:r>
      <w:r>
        <w:rPr>
          <w:szCs w:val="24"/>
        </w:rPr>
        <w:t xml:space="preserve"> </w:t>
      </w:r>
      <w:r>
        <w:rPr>
          <w:rFonts w:cs="Times New Roman"/>
          <w:szCs w:val="24"/>
        </w:rPr>
        <w:t xml:space="preserve"> apskaitą tvarko vyriausiasis buhalteris.</w:t>
      </w:r>
    </w:p>
    <w:p w:rsidR="00A004BD" w:rsidRDefault="00A004BD">
      <w:pPr>
        <w:widowControl w:val="0"/>
        <w:numPr>
          <w:ilvl w:val="0"/>
          <w:numId w:val="2"/>
        </w:numPr>
        <w:shd w:val="clear" w:color="auto" w:fill="FFFFFF"/>
        <w:tabs>
          <w:tab w:val="left" w:pos="1980"/>
        </w:tabs>
        <w:autoSpaceDE w:val="0"/>
        <w:spacing w:line="360" w:lineRule="auto"/>
        <w:ind w:left="540" w:right="96" w:hanging="540"/>
        <w:jc w:val="both"/>
        <w:rPr>
          <w:rFonts w:cs="Times New Roman"/>
          <w:szCs w:val="24"/>
        </w:rPr>
      </w:pPr>
      <w:r>
        <w:rPr>
          <w:rFonts w:cs="Times New Roman"/>
          <w:szCs w:val="24"/>
        </w:rPr>
        <w:t xml:space="preserve">Vyriausiasis buhalteris savo veikloje vadovaujasi Lietuvos Respublikos buhalterinės apskaitos įstatymu, Lietuvos Respublikos viešojo sektoriaus atskaitomybės įstatymu, Lietuvos Respublikos finansų ministro patvirtintomis biudžetinių įstaigų buhalterinės apskaitos organizavimo taisyklėmis ir kitais teisės aktais, patvirtintais nuostatais ir apskaitos politika. </w:t>
      </w:r>
    </w:p>
    <w:p w:rsidR="00A004BD" w:rsidRDefault="00A004BD">
      <w:pPr>
        <w:widowControl w:val="0"/>
        <w:shd w:val="clear" w:color="auto" w:fill="FFFFFF"/>
        <w:tabs>
          <w:tab w:val="left" w:pos="1980"/>
        </w:tabs>
        <w:autoSpaceDE w:val="0"/>
        <w:spacing w:line="360" w:lineRule="auto"/>
        <w:ind w:right="96"/>
        <w:rPr>
          <w:rFonts w:cs="Times New Roman"/>
          <w:szCs w:val="24"/>
        </w:rPr>
      </w:pPr>
    </w:p>
    <w:p w:rsidR="00A004BD" w:rsidRDefault="00A004BD">
      <w:pPr>
        <w:pStyle w:val="Antrat2"/>
        <w:numPr>
          <w:ilvl w:val="0"/>
          <w:numId w:val="0"/>
        </w:numPr>
        <w:spacing w:before="0" w:after="120"/>
        <w:jc w:val="center"/>
      </w:pPr>
      <w:bookmarkStart w:id="61" w:name="__RefHeading___Toc286760015"/>
      <w:bookmarkEnd w:id="61"/>
      <w:r>
        <w:rPr>
          <w:rFonts w:ascii="Times New Roman" w:hAnsi="Times New Roman" w:cs="Times New Roman"/>
          <w:i w:val="0"/>
          <w:iCs w:val="0"/>
          <w:sz w:val="24"/>
          <w:szCs w:val="24"/>
        </w:rPr>
        <w:t>Apskaitos sistema</w:t>
      </w:r>
    </w:p>
    <w:p w:rsidR="00A004BD" w:rsidRDefault="00A004BD"/>
    <w:p w:rsidR="00A004BD" w:rsidRDefault="00A004BD">
      <w:pPr>
        <w:widowControl w:val="0"/>
        <w:numPr>
          <w:ilvl w:val="0"/>
          <w:numId w:val="2"/>
        </w:numPr>
        <w:shd w:val="clear" w:color="auto" w:fill="FFFFFF"/>
        <w:tabs>
          <w:tab w:val="left" w:pos="1980"/>
        </w:tabs>
        <w:autoSpaceDE w:val="0"/>
        <w:spacing w:line="360" w:lineRule="auto"/>
        <w:ind w:left="540" w:right="96" w:hanging="540"/>
        <w:jc w:val="both"/>
        <w:rPr>
          <w:i/>
        </w:rPr>
      </w:pPr>
      <w:r>
        <w:rPr>
          <w:rFonts w:cs="Times New Roman"/>
          <w:szCs w:val="24"/>
        </w:rPr>
        <w:t>Apskaitai tvarkyti yra naudojami šie registrai :</w:t>
      </w:r>
    </w:p>
    <w:p w:rsidR="00A004BD" w:rsidRDefault="00A004BD">
      <w:pPr>
        <w:spacing w:line="288" w:lineRule="auto"/>
        <w:jc w:val="both"/>
        <w:rPr>
          <w:i/>
        </w:rPr>
      </w:pPr>
    </w:p>
    <w:tbl>
      <w:tblPr>
        <w:tblW w:w="0" w:type="auto"/>
        <w:tblInd w:w="-15" w:type="dxa"/>
        <w:tblLayout w:type="fixed"/>
        <w:tblLook w:val="0000"/>
      </w:tblPr>
      <w:tblGrid>
        <w:gridCol w:w="5718"/>
      </w:tblGrid>
      <w:tr w:rsidR="00A004BD">
        <w:tc>
          <w:tcPr>
            <w:tcW w:w="5718" w:type="dxa"/>
            <w:tcBorders>
              <w:top w:val="single" w:sz="4" w:space="0" w:color="000000"/>
              <w:left w:val="single" w:sz="4" w:space="0" w:color="000000"/>
              <w:bottom w:val="single" w:sz="4" w:space="0" w:color="000000"/>
              <w:right w:val="single" w:sz="4" w:space="0" w:color="000000"/>
            </w:tcBorders>
            <w:shd w:val="clear" w:color="auto" w:fill="auto"/>
          </w:tcPr>
          <w:p w:rsidR="00A004BD" w:rsidRDefault="00A004BD">
            <w:pPr>
              <w:spacing w:line="288" w:lineRule="auto"/>
              <w:jc w:val="both"/>
            </w:pPr>
            <w:r>
              <w:rPr>
                <w:b/>
              </w:rPr>
              <w:t>Registro pavadinimas</w:t>
            </w:r>
          </w:p>
        </w:tc>
      </w:tr>
      <w:tr w:rsidR="00A004BD">
        <w:tc>
          <w:tcPr>
            <w:tcW w:w="5718" w:type="dxa"/>
            <w:tcBorders>
              <w:top w:val="single" w:sz="4" w:space="0" w:color="000000"/>
              <w:left w:val="single" w:sz="4" w:space="0" w:color="000000"/>
              <w:bottom w:val="single" w:sz="4" w:space="0" w:color="000000"/>
              <w:right w:val="single" w:sz="4" w:space="0" w:color="000000"/>
            </w:tcBorders>
            <w:shd w:val="clear" w:color="auto" w:fill="auto"/>
          </w:tcPr>
          <w:p w:rsidR="00A004BD" w:rsidRDefault="00A004BD">
            <w:pPr>
              <w:spacing w:line="288" w:lineRule="auto"/>
              <w:jc w:val="both"/>
            </w:pPr>
            <w:r>
              <w:t>Didžioji knyga</w:t>
            </w:r>
          </w:p>
        </w:tc>
      </w:tr>
      <w:tr w:rsidR="00A004BD">
        <w:tc>
          <w:tcPr>
            <w:tcW w:w="5718" w:type="dxa"/>
            <w:tcBorders>
              <w:top w:val="single" w:sz="4" w:space="0" w:color="000000"/>
              <w:left w:val="single" w:sz="4" w:space="0" w:color="000000"/>
              <w:bottom w:val="single" w:sz="4" w:space="0" w:color="000000"/>
              <w:right w:val="single" w:sz="4" w:space="0" w:color="000000"/>
            </w:tcBorders>
            <w:shd w:val="clear" w:color="auto" w:fill="auto"/>
          </w:tcPr>
          <w:p w:rsidR="00A004BD" w:rsidRDefault="00A004BD">
            <w:pPr>
              <w:spacing w:line="288" w:lineRule="auto"/>
              <w:jc w:val="both"/>
            </w:pPr>
            <w:r>
              <w:t>Gautinų sumų registras</w:t>
            </w:r>
          </w:p>
        </w:tc>
      </w:tr>
      <w:tr w:rsidR="00A004BD">
        <w:tc>
          <w:tcPr>
            <w:tcW w:w="5718" w:type="dxa"/>
            <w:tcBorders>
              <w:top w:val="single" w:sz="4" w:space="0" w:color="000000"/>
              <w:left w:val="single" w:sz="4" w:space="0" w:color="000000"/>
              <w:bottom w:val="single" w:sz="4" w:space="0" w:color="000000"/>
              <w:right w:val="single" w:sz="4" w:space="0" w:color="000000"/>
            </w:tcBorders>
            <w:shd w:val="clear" w:color="auto" w:fill="auto"/>
          </w:tcPr>
          <w:p w:rsidR="00A004BD" w:rsidRDefault="00A004BD">
            <w:pPr>
              <w:spacing w:line="288" w:lineRule="auto"/>
              <w:jc w:val="both"/>
            </w:pPr>
            <w:r>
              <w:t>Mokėtinų sumų (tiekėjų)  registras</w:t>
            </w:r>
          </w:p>
        </w:tc>
      </w:tr>
      <w:tr w:rsidR="00A004BD">
        <w:tc>
          <w:tcPr>
            <w:tcW w:w="5718" w:type="dxa"/>
            <w:tcBorders>
              <w:top w:val="single" w:sz="4" w:space="0" w:color="000000"/>
              <w:left w:val="single" w:sz="4" w:space="0" w:color="000000"/>
              <w:bottom w:val="single" w:sz="4" w:space="0" w:color="000000"/>
              <w:right w:val="single" w:sz="4" w:space="0" w:color="000000"/>
            </w:tcBorders>
            <w:shd w:val="clear" w:color="auto" w:fill="auto"/>
          </w:tcPr>
          <w:p w:rsidR="00A004BD" w:rsidRDefault="00A004BD">
            <w:pPr>
              <w:spacing w:line="288" w:lineRule="auto"/>
              <w:jc w:val="both"/>
            </w:pPr>
            <w:r>
              <w:t>Atsargų registras</w:t>
            </w:r>
          </w:p>
        </w:tc>
      </w:tr>
      <w:tr w:rsidR="00A004BD">
        <w:tc>
          <w:tcPr>
            <w:tcW w:w="5718" w:type="dxa"/>
            <w:tcBorders>
              <w:top w:val="single" w:sz="4" w:space="0" w:color="000000"/>
              <w:left w:val="single" w:sz="4" w:space="0" w:color="000000"/>
              <w:bottom w:val="single" w:sz="4" w:space="0" w:color="000000"/>
              <w:right w:val="single" w:sz="4" w:space="0" w:color="000000"/>
            </w:tcBorders>
            <w:shd w:val="clear" w:color="auto" w:fill="auto"/>
          </w:tcPr>
          <w:p w:rsidR="00A004BD" w:rsidRDefault="00A004BD">
            <w:pPr>
              <w:spacing w:line="288" w:lineRule="auto"/>
              <w:jc w:val="both"/>
            </w:pPr>
            <w:r>
              <w:t>Ilgalaikio turto nusidėvėjimo apskaitos registras</w:t>
            </w:r>
          </w:p>
        </w:tc>
      </w:tr>
      <w:tr w:rsidR="00A004BD">
        <w:tc>
          <w:tcPr>
            <w:tcW w:w="5718" w:type="dxa"/>
            <w:tcBorders>
              <w:top w:val="single" w:sz="4" w:space="0" w:color="000000"/>
              <w:left w:val="single" w:sz="4" w:space="0" w:color="000000"/>
              <w:bottom w:val="single" w:sz="4" w:space="0" w:color="000000"/>
              <w:right w:val="single" w:sz="4" w:space="0" w:color="000000"/>
            </w:tcBorders>
            <w:shd w:val="clear" w:color="auto" w:fill="auto"/>
          </w:tcPr>
          <w:p w:rsidR="00A004BD" w:rsidRDefault="00A004BD">
            <w:pPr>
              <w:spacing w:line="288" w:lineRule="auto"/>
              <w:jc w:val="both"/>
            </w:pPr>
            <w:r>
              <w:t>Pinigų apskaitos registras</w:t>
            </w:r>
          </w:p>
        </w:tc>
      </w:tr>
    </w:tbl>
    <w:p w:rsidR="00A004BD" w:rsidRDefault="00A004BD">
      <w:pPr>
        <w:spacing w:line="288" w:lineRule="auto"/>
        <w:jc w:val="both"/>
        <w:rPr>
          <w:b/>
          <w:i/>
        </w:rPr>
      </w:pPr>
    </w:p>
    <w:p w:rsidR="00A004BD" w:rsidRDefault="00A004BD">
      <w:pPr>
        <w:pStyle w:val="Antrat1"/>
        <w:numPr>
          <w:ilvl w:val="0"/>
          <w:numId w:val="3"/>
        </w:numPr>
        <w:spacing w:before="0" w:after="0" w:line="360" w:lineRule="auto"/>
        <w:jc w:val="center"/>
        <w:rPr>
          <w:szCs w:val="24"/>
        </w:rPr>
      </w:pPr>
      <w:bookmarkStart w:id="62" w:name="__RefHeading___Toc286760016"/>
      <w:bookmarkEnd w:id="62"/>
      <w:r>
        <w:rPr>
          <w:rFonts w:ascii="Times New Roman" w:hAnsi="Times New Roman" w:cs="Times New Roman"/>
          <w:bCs w:val="0"/>
          <w:caps/>
          <w:sz w:val="24"/>
          <w:szCs w:val="24"/>
        </w:rPr>
        <w:t>SĄSKAITŲ PLANAS</w:t>
      </w:r>
    </w:p>
    <w:p w:rsidR="00A004BD" w:rsidRDefault="00A004BD">
      <w:pPr>
        <w:rPr>
          <w:b/>
          <w:bCs/>
          <w:kern w:val="1"/>
          <w:szCs w:val="24"/>
        </w:rPr>
      </w:pPr>
    </w:p>
    <w:p w:rsidR="00A004BD" w:rsidRDefault="00A004BD">
      <w:pPr>
        <w:widowControl w:val="0"/>
        <w:numPr>
          <w:ilvl w:val="0"/>
          <w:numId w:val="2"/>
        </w:numPr>
        <w:shd w:val="clear" w:color="auto" w:fill="FFFFFF"/>
        <w:tabs>
          <w:tab w:val="left" w:pos="1980"/>
        </w:tabs>
        <w:autoSpaceDE w:val="0"/>
        <w:spacing w:line="360" w:lineRule="auto"/>
        <w:jc w:val="both"/>
        <w:rPr>
          <w:rFonts w:cs="Times New Roman"/>
          <w:szCs w:val="24"/>
        </w:rPr>
      </w:pPr>
      <w:r>
        <w:rPr>
          <w:rFonts w:cs="Times New Roman"/>
          <w:szCs w:val="24"/>
        </w:rPr>
        <w:t>Sąskaitų planas parengtas vadovaujantis VSAFAS reikalavimais ir patvirtintas L/d „Žilvitis“</w:t>
      </w:r>
      <w:r>
        <w:rPr>
          <w:szCs w:val="24"/>
        </w:rPr>
        <w:t xml:space="preserve"> </w:t>
      </w:r>
      <w:r>
        <w:rPr>
          <w:rFonts w:cs="Times New Roman"/>
          <w:szCs w:val="24"/>
        </w:rPr>
        <w:t xml:space="preserve"> direktoriaus. </w:t>
      </w:r>
    </w:p>
    <w:p w:rsidR="00A004BD" w:rsidRDefault="00A004BD">
      <w:pPr>
        <w:widowControl w:val="0"/>
        <w:numPr>
          <w:ilvl w:val="0"/>
          <w:numId w:val="2"/>
        </w:numPr>
        <w:shd w:val="clear" w:color="auto" w:fill="FFFFFF"/>
        <w:tabs>
          <w:tab w:val="left" w:pos="1980"/>
        </w:tabs>
        <w:autoSpaceDE w:val="0"/>
        <w:spacing w:line="360" w:lineRule="auto"/>
        <w:ind w:left="540" w:right="96" w:hanging="540"/>
        <w:jc w:val="both"/>
        <w:rPr>
          <w:rFonts w:cs="Times New Roman"/>
          <w:szCs w:val="24"/>
        </w:rPr>
      </w:pPr>
      <w:r>
        <w:rPr>
          <w:rFonts w:cs="Times New Roman"/>
          <w:szCs w:val="24"/>
        </w:rPr>
        <w:t>Visos ūkinės operacijos ir ūkiniai įvykiai apskaitoje registruojami dvejybiniu įrašu vieną kartą ir tik registravimo detaliosiose (septyniaženklėse) sąskaitose.</w:t>
      </w:r>
    </w:p>
    <w:p w:rsidR="00A004BD" w:rsidRDefault="00A004BD">
      <w:pPr>
        <w:widowControl w:val="0"/>
        <w:numPr>
          <w:ilvl w:val="0"/>
          <w:numId w:val="2"/>
        </w:numPr>
        <w:shd w:val="clear" w:color="auto" w:fill="FFFFFF"/>
        <w:tabs>
          <w:tab w:val="left" w:pos="1980"/>
        </w:tabs>
        <w:autoSpaceDE w:val="0"/>
        <w:spacing w:line="360" w:lineRule="auto"/>
        <w:ind w:left="540" w:right="96" w:hanging="540"/>
        <w:jc w:val="both"/>
      </w:pPr>
      <w:r>
        <w:rPr>
          <w:rFonts w:cs="Times New Roman"/>
          <w:szCs w:val="24"/>
        </w:rPr>
        <w:t xml:space="preserve">Sąskaitų planą sudaro apskaitos požymių sistema, leidžianti identifikuoti, grupuoti ir analizuoti apskaitos įrašus. </w:t>
      </w:r>
    </w:p>
    <w:p w:rsidR="00A004BD" w:rsidRDefault="00A004BD">
      <w:pPr>
        <w:pStyle w:val="Antrat2"/>
        <w:numPr>
          <w:ilvl w:val="0"/>
          <w:numId w:val="0"/>
        </w:numPr>
        <w:spacing w:before="0" w:after="120"/>
        <w:jc w:val="both"/>
      </w:pPr>
    </w:p>
    <w:p w:rsidR="00A004BD" w:rsidRDefault="00A004BD">
      <w:r>
        <w:tab/>
      </w:r>
    </w:p>
    <w:p w:rsidR="00A004BD" w:rsidRDefault="00A004BD">
      <w:pPr>
        <w:pageBreakBefore/>
      </w:pPr>
    </w:p>
    <w:p w:rsidR="00A004BD" w:rsidRDefault="00A004BD">
      <w:pPr>
        <w:pStyle w:val="Antrat1"/>
        <w:spacing w:before="0" w:after="0" w:line="360" w:lineRule="auto"/>
        <w:jc w:val="center"/>
      </w:pPr>
      <w:bookmarkStart w:id="63" w:name="__RefHeading___Toc286760017"/>
      <w:bookmarkEnd w:id="63"/>
      <w:r>
        <w:rPr>
          <w:rFonts w:ascii="Times New Roman" w:hAnsi="Times New Roman" w:cs="Times New Roman"/>
          <w:bCs w:val="0"/>
          <w:caps/>
          <w:sz w:val="24"/>
          <w:szCs w:val="24"/>
        </w:rPr>
        <w:t>PRIEDAI</w:t>
      </w:r>
    </w:p>
    <w:p w:rsidR="00A004BD" w:rsidRDefault="00A004BD">
      <w:pPr>
        <w:spacing w:before="120" w:after="240"/>
        <w:ind w:left="992" w:hanging="992"/>
        <w:rPr>
          <w:b/>
        </w:rPr>
      </w:pPr>
    </w:p>
    <w:p w:rsidR="00A004BD" w:rsidRDefault="00A004BD">
      <w:pPr>
        <w:widowControl w:val="0"/>
        <w:shd w:val="clear" w:color="auto" w:fill="FFFFFF"/>
        <w:tabs>
          <w:tab w:val="left" w:pos="1980"/>
        </w:tabs>
        <w:autoSpaceDE w:val="0"/>
        <w:spacing w:line="360" w:lineRule="auto"/>
        <w:ind w:right="96"/>
        <w:jc w:val="both"/>
        <w:rPr>
          <w:rFonts w:cs="Times New Roman"/>
          <w:b/>
          <w:szCs w:val="24"/>
        </w:rPr>
      </w:pPr>
      <w:r>
        <w:rPr>
          <w:rFonts w:cs="Times New Roman"/>
          <w:b/>
          <w:szCs w:val="24"/>
        </w:rPr>
        <w:t>1 priedas.  1-as „Nematerialiojo turto apskaitos“ tvarkos parašas</w:t>
      </w:r>
    </w:p>
    <w:p w:rsidR="00A004BD" w:rsidRDefault="00A004BD">
      <w:pPr>
        <w:widowControl w:val="0"/>
        <w:shd w:val="clear" w:color="auto" w:fill="FFFFFF"/>
        <w:tabs>
          <w:tab w:val="left" w:pos="1980"/>
        </w:tabs>
        <w:autoSpaceDE w:val="0"/>
        <w:spacing w:line="360" w:lineRule="auto"/>
        <w:ind w:right="96"/>
        <w:jc w:val="both"/>
        <w:rPr>
          <w:rFonts w:cs="Times New Roman"/>
          <w:b/>
          <w:szCs w:val="24"/>
        </w:rPr>
      </w:pPr>
      <w:r>
        <w:rPr>
          <w:rFonts w:cs="Times New Roman"/>
          <w:b/>
          <w:szCs w:val="24"/>
        </w:rPr>
        <w:t>2 priedas  2-as „Ilgalaikio materialiojo turto apskaitos“ tvarkos aprašas</w:t>
      </w:r>
    </w:p>
    <w:p w:rsidR="00A004BD" w:rsidRDefault="00A004BD">
      <w:pPr>
        <w:widowControl w:val="0"/>
        <w:shd w:val="clear" w:color="auto" w:fill="FFFFFF"/>
        <w:tabs>
          <w:tab w:val="left" w:pos="1980"/>
        </w:tabs>
        <w:autoSpaceDE w:val="0"/>
        <w:spacing w:line="360" w:lineRule="auto"/>
        <w:ind w:right="96"/>
        <w:jc w:val="both"/>
        <w:rPr>
          <w:rFonts w:cs="Times New Roman"/>
          <w:b/>
          <w:szCs w:val="24"/>
        </w:rPr>
      </w:pPr>
      <w:r>
        <w:rPr>
          <w:rFonts w:cs="Times New Roman"/>
          <w:b/>
          <w:szCs w:val="24"/>
        </w:rPr>
        <w:t>3 priedas.  3-as „Atsargų apskaitos“ tvarkos aprašas</w:t>
      </w:r>
    </w:p>
    <w:p w:rsidR="00A004BD" w:rsidRDefault="00A004BD">
      <w:pPr>
        <w:widowControl w:val="0"/>
        <w:shd w:val="clear" w:color="auto" w:fill="FFFFFF"/>
        <w:tabs>
          <w:tab w:val="left" w:pos="1980"/>
        </w:tabs>
        <w:autoSpaceDE w:val="0"/>
        <w:spacing w:line="360" w:lineRule="auto"/>
        <w:ind w:right="96"/>
        <w:jc w:val="both"/>
        <w:rPr>
          <w:rFonts w:cs="Times New Roman"/>
          <w:b/>
          <w:szCs w:val="24"/>
        </w:rPr>
      </w:pPr>
      <w:r>
        <w:rPr>
          <w:rFonts w:cs="Times New Roman"/>
          <w:b/>
          <w:szCs w:val="24"/>
        </w:rPr>
        <w:t>4 priedas.  4-as „Finansinio turto apskaitos“ tvarkos aprašas</w:t>
      </w:r>
    </w:p>
    <w:p w:rsidR="00A004BD" w:rsidRDefault="00A004BD">
      <w:pPr>
        <w:widowControl w:val="0"/>
        <w:shd w:val="clear" w:color="auto" w:fill="FFFFFF"/>
        <w:tabs>
          <w:tab w:val="left" w:pos="1980"/>
        </w:tabs>
        <w:autoSpaceDE w:val="0"/>
        <w:spacing w:line="360" w:lineRule="auto"/>
        <w:ind w:right="96"/>
        <w:jc w:val="both"/>
        <w:rPr>
          <w:rFonts w:cs="Times New Roman"/>
          <w:b/>
          <w:szCs w:val="24"/>
        </w:rPr>
      </w:pPr>
      <w:r>
        <w:rPr>
          <w:rFonts w:cs="Times New Roman"/>
          <w:b/>
          <w:szCs w:val="24"/>
        </w:rPr>
        <w:t>5 priedas.  5-as „Finansavimo sumų apskaitos“ tvarkos aprašas</w:t>
      </w:r>
    </w:p>
    <w:p w:rsidR="00A004BD" w:rsidRDefault="00A004BD">
      <w:pPr>
        <w:widowControl w:val="0"/>
        <w:shd w:val="clear" w:color="auto" w:fill="FFFFFF"/>
        <w:tabs>
          <w:tab w:val="left" w:pos="1980"/>
        </w:tabs>
        <w:autoSpaceDE w:val="0"/>
        <w:spacing w:line="360" w:lineRule="auto"/>
        <w:ind w:right="96"/>
        <w:jc w:val="both"/>
        <w:rPr>
          <w:rFonts w:cs="Times New Roman"/>
          <w:b/>
          <w:szCs w:val="24"/>
        </w:rPr>
      </w:pPr>
      <w:r>
        <w:rPr>
          <w:rFonts w:cs="Times New Roman"/>
          <w:b/>
          <w:szCs w:val="24"/>
        </w:rPr>
        <w:t>6 priedas.  6-as „Išankstinių apmokėjimų ir gautinų sumų apskaitos“ tvarkos aprašas</w:t>
      </w:r>
    </w:p>
    <w:p w:rsidR="00A004BD" w:rsidRDefault="00A004BD">
      <w:pPr>
        <w:widowControl w:val="0"/>
        <w:shd w:val="clear" w:color="auto" w:fill="FFFFFF"/>
        <w:tabs>
          <w:tab w:val="left" w:pos="1980"/>
        </w:tabs>
        <w:autoSpaceDE w:val="0"/>
        <w:spacing w:line="360" w:lineRule="auto"/>
        <w:ind w:right="96"/>
        <w:jc w:val="both"/>
        <w:rPr>
          <w:rFonts w:cs="Times New Roman"/>
          <w:b/>
          <w:szCs w:val="24"/>
        </w:rPr>
      </w:pPr>
      <w:r>
        <w:rPr>
          <w:rFonts w:cs="Times New Roman"/>
          <w:b/>
          <w:szCs w:val="24"/>
        </w:rPr>
        <w:t>7 priedas.  7-as „Ilgalaikių ir trumpalaikių įsipareigojimų apskaitos“ tvarkos aprašas</w:t>
      </w:r>
    </w:p>
    <w:p w:rsidR="00A004BD" w:rsidRDefault="00A004BD">
      <w:pPr>
        <w:widowControl w:val="0"/>
        <w:shd w:val="clear" w:color="auto" w:fill="FFFFFF"/>
        <w:tabs>
          <w:tab w:val="left" w:pos="1980"/>
        </w:tabs>
        <w:autoSpaceDE w:val="0"/>
        <w:spacing w:line="360" w:lineRule="auto"/>
        <w:ind w:right="96"/>
        <w:jc w:val="both"/>
        <w:rPr>
          <w:rFonts w:cs="Times New Roman"/>
          <w:b/>
          <w:szCs w:val="24"/>
        </w:rPr>
      </w:pPr>
      <w:r>
        <w:rPr>
          <w:rFonts w:cs="Times New Roman"/>
          <w:b/>
          <w:szCs w:val="24"/>
        </w:rPr>
        <w:t>8 priedas.  8-as „Pajamų apskaitos“ tvarkos aprašas</w:t>
      </w:r>
    </w:p>
    <w:p w:rsidR="00A004BD" w:rsidRDefault="00A004BD">
      <w:pPr>
        <w:widowControl w:val="0"/>
        <w:shd w:val="clear" w:color="auto" w:fill="FFFFFF"/>
        <w:tabs>
          <w:tab w:val="left" w:pos="1980"/>
        </w:tabs>
        <w:autoSpaceDE w:val="0"/>
        <w:spacing w:line="360" w:lineRule="auto"/>
        <w:ind w:right="96"/>
        <w:jc w:val="both"/>
      </w:pPr>
      <w:r>
        <w:rPr>
          <w:rFonts w:cs="Times New Roman"/>
          <w:b/>
          <w:szCs w:val="24"/>
        </w:rPr>
        <w:t>9 priedas.   9-as „Sąnaudų apskaitos“ tvarkos aprašas</w:t>
      </w:r>
    </w:p>
    <w:sectPr w:rsidR="00A004BD">
      <w:headerReference w:type="even" r:id="rId12"/>
      <w:headerReference w:type="default" r:id="rId13"/>
      <w:footerReference w:type="even" r:id="rId14"/>
      <w:footerReference w:type="default" r:id="rId15"/>
      <w:headerReference w:type="first" r:id="rId16"/>
      <w:footerReference w:type="first" r:id="rId17"/>
      <w:pgSz w:w="11906" w:h="16838"/>
      <w:pgMar w:top="964" w:right="567" w:bottom="1134" w:left="1021" w:header="567" w:footer="567" w:gutter="0"/>
      <w:cols w:space="1296"/>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4DB" w:rsidRDefault="007724DB">
      <w:r>
        <w:separator/>
      </w:r>
    </w:p>
  </w:endnote>
  <w:endnote w:type="continuationSeparator" w:id="0">
    <w:p w:rsidR="007724DB" w:rsidRDefault="007724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4BD" w:rsidRDefault="00A004B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4BD" w:rsidRDefault="00A004BD">
    <w:pPr>
      <w:pStyle w:val="Por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4BD" w:rsidRDefault="00A004BD"/>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4BD" w:rsidRDefault="00A004BD"/>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4BD" w:rsidRDefault="00A004BD">
    <w:pPr>
      <w:pStyle w:val="Porat"/>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4BD" w:rsidRDefault="00A004B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4DB" w:rsidRDefault="007724DB">
      <w:r>
        <w:separator/>
      </w:r>
    </w:p>
  </w:footnote>
  <w:footnote w:type="continuationSeparator" w:id="0">
    <w:p w:rsidR="007724DB" w:rsidRDefault="007724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4BD" w:rsidRDefault="00A004BD">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4BD" w:rsidRDefault="00A004B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4BD" w:rsidRDefault="00A004B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4BD" w:rsidRDefault="00A004BD">
    <w:pPr>
      <w:pStyle w:val="Antrats"/>
    </w:pPr>
    <w:r>
      <w:pict>
        <v:shapetype id="_x0000_t202" coordsize="21600,21600" o:spt="202" path="m,l,21600r21600,l21600,xe">
          <v:stroke joinstyle="miter"/>
          <v:path gradientshapeok="t" o:connecttype="rect"/>
        </v:shapetype>
        <v:shape id="_x0000_s2049" type="#_x0000_t202" style="position:absolute;margin-left:0;margin-top:.05pt;width:26.9pt;height:13.65pt;z-index:251657728;mso-wrap-distance-left:0;mso-wrap-distance-right:0;mso-position-horizontal:center;mso-position-horizontal-relative:margin" stroked="f">
          <v:fill opacity="0" color2="black"/>
          <v:textbox inset="0,0,0,0">
            <w:txbxContent>
              <w:p w:rsidR="00A004BD" w:rsidRDefault="00A004BD">
                <w:pPr>
                  <w:pStyle w:val="Antrats"/>
                </w:pPr>
                <w:r>
                  <w:rPr>
                    <w:rStyle w:val="Puslapionumeris"/>
                    <w:rFonts w:cs="Arial"/>
                  </w:rPr>
                  <w:fldChar w:fldCharType="begin"/>
                </w:r>
                <w:r>
                  <w:rPr>
                    <w:rStyle w:val="Puslapionumeris"/>
                    <w:rFonts w:cs="Arial"/>
                  </w:rPr>
                  <w:instrText xml:space="preserve"> PAGE </w:instrText>
                </w:r>
                <w:r>
                  <w:rPr>
                    <w:rStyle w:val="Puslapionumeris"/>
                    <w:rFonts w:cs="Arial"/>
                  </w:rPr>
                  <w:fldChar w:fldCharType="separate"/>
                </w:r>
                <w:r w:rsidR="004D0CE0">
                  <w:rPr>
                    <w:rStyle w:val="Puslapionumeris"/>
                    <w:rFonts w:cs="Arial"/>
                    <w:noProof/>
                  </w:rPr>
                  <w:t>31</w:t>
                </w:r>
                <w:r>
                  <w:rPr>
                    <w:rStyle w:val="Puslapionumeris"/>
                    <w:rFonts w:cs="Arial"/>
                  </w:rPr>
                  <w:fldChar w:fldCharType="end"/>
                </w:r>
              </w:p>
            </w:txbxContent>
          </v:textbox>
          <w10:wrap type="square" side="largest"/>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4BD" w:rsidRDefault="00A004B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1920"/>
        </w:tabs>
        <w:ind w:left="19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00000002"/>
    <w:multiLevelType w:val="multilevel"/>
    <w:tmpl w:val="00000002"/>
    <w:name w:val="WW8Num2"/>
    <w:lvl w:ilvl="0">
      <w:start w:val="1"/>
      <w:numFmt w:val="decimal"/>
      <w:lvlText w:val="%1."/>
      <w:lvlJc w:val="left"/>
      <w:pPr>
        <w:tabs>
          <w:tab w:val="num" w:pos="567"/>
        </w:tabs>
        <w:ind w:left="644" w:hanging="360"/>
      </w:pPr>
      <w:rPr>
        <w:rFonts w:ascii="Times New Roman" w:hAnsi="Times New Roman" w:cs="Times New Roman"/>
        <w:i w:val="0"/>
        <w:iCs w:val="0"/>
        <w:color w:val="000000"/>
        <w:spacing w:val="-1"/>
        <w:w w:val="103"/>
        <w:sz w:val="24"/>
        <w:szCs w:val="24"/>
        <w:lang w:val="lt-LT"/>
      </w:rPr>
    </w:lvl>
    <w:lvl w:ilvl="1">
      <w:start w:val="1"/>
      <w:numFmt w:val="decimal"/>
      <w:lvlText w:val="%1.%2."/>
      <w:lvlJc w:val="left"/>
      <w:pPr>
        <w:tabs>
          <w:tab w:val="num" w:pos="1000"/>
        </w:tabs>
        <w:ind w:left="1000" w:hanging="432"/>
      </w:pPr>
      <w:rPr>
        <w:rFonts w:cs="Times New Roman" w:hint="default"/>
        <w:szCs w:val="24"/>
      </w:rPr>
    </w:lvl>
    <w:lvl w:ilvl="2">
      <w:start w:val="1"/>
      <w:numFmt w:val="decimal"/>
      <w:lvlText w:val="%1.%2.%3."/>
      <w:lvlJc w:val="left"/>
      <w:pPr>
        <w:tabs>
          <w:tab w:val="num" w:pos="567"/>
        </w:tabs>
        <w:ind w:left="1224" w:hanging="504"/>
      </w:pPr>
      <w:rPr>
        <w:rFonts w:cs="Times New Roman" w:hint="default"/>
        <w:szCs w:val="24"/>
      </w:rPr>
    </w:lvl>
    <w:lvl w:ilvl="3">
      <w:start w:val="1"/>
      <w:numFmt w:val="decimal"/>
      <w:lvlText w:val="%1.%2.%3.%4."/>
      <w:lvlJc w:val="left"/>
      <w:pPr>
        <w:tabs>
          <w:tab w:val="num" w:pos="1800"/>
        </w:tabs>
        <w:ind w:left="1728" w:hanging="648"/>
      </w:pPr>
      <w:rPr>
        <w:rFonts w:cs="Times New Roman" w:hint="default"/>
        <w:szCs w:val="24"/>
      </w:rPr>
    </w:lvl>
    <w:lvl w:ilvl="4">
      <w:start w:val="1"/>
      <w:numFmt w:val="decimal"/>
      <w:lvlText w:val="%1.%2.%3.%4.%5."/>
      <w:lvlJc w:val="left"/>
      <w:pPr>
        <w:tabs>
          <w:tab w:val="num" w:pos="2520"/>
        </w:tabs>
        <w:ind w:left="2232" w:hanging="792"/>
      </w:pPr>
      <w:rPr>
        <w:rFonts w:cs="Times New Roman" w:hint="default"/>
        <w:szCs w:val="24"/>
      </w:rPr>
    </w:lvl>
    <w:lvl w:ilvl="5">
      <w:start w:val="1"/>
      <w:numFmt w:val="decimal"/>
      <w:lvlText w:val="%1.%2.%3.%4.%5.%6."/>
      <w:lvlJc w:val="left"/>
      <w:pPr>
        <w:tabs>
          <w:tab w:val="num" w:pos="2880"/>
        </w:tabs>
        <w:ind w:left="2736" w:hanging="936"/>
      </w:pPr>
      <w:rPr>
        <w:rFonts w:cs="Times New Roman" w:hint="default"/>
        <w:szCs w:val="24"/>
      </w:rPr>
    </w:lvl>
    <w:lvl w:ilvl="6">
      <w:start w:val="1"/>
      <w:numFmt w:val="decimal"/>
      <w:lvlText w:val="%1.%2.%3.%4.%5.%6.%7."/>
      <w:lvlJc w:val="left"/>
      <w:pPr>
        <w:tabs>
          <w:tab w:val="num" w:pos="3600"/>
        </w:tabs>
        <w:ind w:left="3240" w:hanging="1080"/>
      </w:pPr>
      <w:rPr>
        <w:rFonts w:cs="Times New Roman" w:hint="default"/>
        <w:szCs w:val="24"/>
      </w:rPr>
    </w:lvl>
    <w:lvl w:ilvl="7">
      <w:start w:val="1"/>
      <w:numFmt w:val="decimal"/>
      <w:lvlText w:val="%1.%2.%3.%4.%5.%6.%7.%8."/>
      <w:lvlJc w:val="left"/>
      <w:pPr>
        <w:tabs>
          <w:tab w:val="num" w:pos="3960"/>
        </w:tabs>
        <w:ind w:left="3744" w:hanging="1224"/>
      </w:pPr>
      <w:rPr>
        <w:rFonts w:cs="Times New Roman" w:hint="default"/>
        <w:szCs w:val="24"/>
      </w:rPr>
    </w:lvl>
    <w:lvl w:ilvl="8">
      <w:start w:val="1"/>
      <w:numFmt w:val="decimal"/>
      <w:lvlText w:val="%1.%2.%3.%4.%5.%6.%7.%8.%9."/>
      <w:lvlJc w:val="left"/>
      <w:pPr>
        <w:tabs>
          <w:tab w:val="num" w:pos="4680"/>
        </w:tabs>
        <w:ind w:left="4320" w:hanging="1440"/>
      </w:pPr>
      <w:rPr>
        <w:rFonts w:cs="Times New Roman" w:hint="default"/>
        <w:szCs w:val="24"/>
      </w:rPr>
    </w:lvl>
  </w:abstractNum>
  <w:abstractNum w:abstractNumId="2">
    <w:nsid w:val="00000003"/>
    <w:multiLevelType w:val="multilevel"/>
    <w:tmpl w:val="00000003"/>
    <w:name w:val="WW8Num3"/>
    <w:lvl w:ilvl="0">
      <w:start w:val="1"/>
      <w:numFmt w:val="upperRoman"/>
      <w:lvlText w:val="%1."/>
      <w:lvlJc w:val="right"/>
      <w:pPr>
        <w:tabs>
          <w:tab w:val="num" w:pos="180"/>
        </w:tabs>
        <w:ind w:left="180" w:hanging="180"/>
      </w:pPr>
      <w:rPr>
        <w:rFonts w:cs="Times New Roman"/>
        <w:b/>
        <w:i w:val="0"/>
      </w:rPr>
    </w:lvl>
    <w:lvl w:ilvl="1">
      <w:start w:val="1"/>
      <w:numFmt w:val="decimal"/>
      <w:lvlText w:val="%1.%2."/>
      <w:lvlJc w:val="left"/>
      <w:pPr>
        <w:tabs>
          <w:tab w:val="num" w:pos="792"/>
        </w:tabs>
        <w:ind w:left="792" w:hanging="432"/>
      </w:pPr>
      <w:rPr>
        <w:rFonts w:cs="Times New Roman"/>
        <w:b/>
        <w:i w:val="0"/>
      </w:rPr>
    </w:lvl>
    <w:lvl w:ilvl="2">
      <w:start w:val="1"/>
      <w:numFmt w:val="decimal"/>
      <w:lvlText w:val="%1.%2.%3."/>
      <w:lvlJc w:val="left"/>
      <w:pPr>
        <w:tabs>
          <w:tab w:val="num" w:pos="1440"/>
        </w:tabs>
        <w:ind w:left="1224" w:hanging="504"/>
      </w:pPr>
      <w:rPr>
        <w:rFonts w:cs="Times New Roman"/>
        <w:b/>
        <w:i w:val="0"/>
      </w:rPr>
    </w:lvl>
    <w:lvl w:ilvl="3">
      <w:start w:val="1"/>
      <w:numFmt w:val="decimal"/>
      <w:lvlText w:val="%1.%2.%3.%4."/>
      <w:lvlJc w:val="left"/>
      <w:pPr>
        <w:tabs>
          <w:tab w:val="num" w:pos="1800"/>
        </w:tabs>
        <w:ind w:left="1728" w:hanging="648"/>
      </w:pPr>
      <w:rPr>
        <w:rFonts w:cs="Times New Roman"/>
        <w:b/>
        <w:i w:val="0"/>
      </w:rPr>
    </w:lvl>
    <w:lvl w:ilvl="4">
      <w:start w:val="1"/>
      <w:numFmt w:val="decimal"/>
      <w:lvlText w:val="%1.%2.%3.%4.%5."/>
      <w:lvlJc w:val="left"/>
      <w:pPr>
        <w:tabs>
          <w:tab w:val="num" w:pos="2520"/>
        </w:tabs>
        <w:ind w:left="2232" w:hanging="792"/>
      </w:pPr>
      <w:rPr>
        <w:rFonts w:cs="Times New Roman"/>
        <w:b/>
        <w:i w:val="0"/>
      </w:rPr>
    </w:lvl>
    <w:lvl w:ilvl="5">
      <w:start w:val="1"/>
      <w:numFmt w:val="decimal"/>
      <w:lvlText w:val="%1.%2.%3.%4.%5.%6."/>
      <w:lvlJc w:val="left"/>
      <w:pPr>
        <w:tabs>
          <w:tab w:val="num" w:pos="2880"/>
        </w:tabs>
        <w:ind w:left="2736" w:hanging="936"/>
      </w:pPr>
      <w:rPr>
        <w:rFonts w:cs="Times New Roman"/>
        <w:b/>
        <w:i w:val="0"/>
      </w:rPr>
    </w:lvl>
    <w:lvl w:ilvl="6">
      <w:start w:val="1"/>
      <w:numFmt w:val="decimal"/>
      <w:lvlText w:val="%1.%2.%3.%4.%5.%6.%7."/>
      <w:lvlJc w:val="left"/>
      <w:pPr>
        <w:tabs>
          <w:tab w:val="num" w:pos="3600"/>
        </w:tabs>
        <w:ind w:left="3240" w:hanging="1080"/>
      </w:pPr>
      <w:rPr>
        <w:rFonts w:cs="Times New Roman"/>
        <w:b/>
        <w:i w:val="0"/>
      </w:rPr>
    </w:lvl>
    <w:lvl w:ilvl="7">
      <w:start w:val="1"/>
      <w:numFmt w:val="decimal"/>
      <w:lvlText w:val="%1.%2.%3.%4.%5.%6.%7.%8."/>
      <w:lvlJc w:val="left"/>
      <w:pPr>
        <w:tabs>
          <w:tab w:val="num" w:pos="3960"/>
        </w:tabs>
        <w:ind w:left="3744" w:hanging="1224"/>
      </w:pPr>
      <w:rPr>
        <w:rFonts w:cs="Times New Roman"/>
        <w:b/>
        <w:i w:val="0"/>
      </w:rPr>
    </w:lvl>
    <w:lvl w:ilvl="8">
      <w:start w:val="1"/>
      <w:numFmt w:val="decimal"/>
      <w:lvlText w:val="%1.%2.%3.%4.%5.%6.%7.%8.%9."/>
      <w:lvlJc w:val="left"/>
      <w:pPr>
        <w:tabs>
          <w:tab w:val="num" w:pos="4680"/>
        </w:tabs>
        <w:ind w:left="4320" w:hanging="1440"/>
      </w:pPr>
      <w:rPr>
        <w:rFonts w:cs="Times New Roman"/>
        <w:b/>
        <w:i w:val="0"/>
      </w:rPr>
    </w:lvl>
  </w:abstractNum>
  <w:abstractNum w:abstractNumId="3">
    <w:nsid w:val="00000004"/>
    <w:multiLevelType w:val="singleLevel"/>
    <w:tmpl w:val="00000004"/>
    <w:name w:val="WW8Num4"/>
    <w:lvl w:ilvl="0">
      <w:start w:val="1"/>
      <w:numFmt w:val="bullet"/>
      <w:lvlText w:val=""/>
      <w:lvlJc w:val="left"/>
      <w:pPr>
        <w:tabs>
          <w:tab w:val="num" w:pos="0"/>
        </w:tabs>
        <w:ind w:left="1260" w:hanging="360"/>
      </w:pPr>
      <w:rPr>
        <w:rFonts w:ascii="Symbol" w:hAnsi="Symbol" w:cs="Times New Roman" w:hint="default"/>
        <w:szCs w:val="24"/>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567"/>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9B2DAB"/>
    <w:rsid w:val="003D7B6F"/>
    <w:rsid w:val="004D0CE0"/>
    <w:rsid w:val="007724DB"/>
    <w:rsid w:val="009B2DAB"/>
    <w:rsid w:val="00A004BD"/>
    <w:rsid w:val="00D80B2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uppressAutoHyphens/>
    </w:pPr>
    <w:rPr>
      <w:rFonts w:cs="Arial"/>
      <w:sz w:val="24"/>
      <w:szCs w:val="16"/>
      <w:lang w:eastAsia="ar-SA"/>
    </w:rPr>
  </w:style>
  <w:style w:type="paragraph" w:styleId="Antrat1">
    <w:name w:val="heading 1"/>
    <w:basedOn w:val="prastasis"/>
    <w:next w:val="prastasis"/>
    <w:qFormat/>
    <w:pPr>
      <w:keepNext/>
      <w:spacing w:before="240" w:after="60"/>
      <w:outlineLvl w:val="0"/>
    </w:pPr>
    <w:rPr>
      <w:rFonts w:ascii="Arial" w:hAnsi="Arial"/>
      <w:b/>
      <w:bCs/>
      <w:kern w:val="1"/>
      <w:sz w:val="32"/>
      <w:szCs w:val="32"/>
    </w:rPr>
  </w:style>
  <w:style w:type="paragraph" w:styleId="Antrat2">
    <w:name w:val="heading 2"/>
    <w:basedOn w:val="prastasis"/>
    <w:next w:val="prastasis"/>
    <w:qFormat/>
    <w:pPr>
      <w:keepNext/>
      <w:numPr>
        <w:ilvl w:val="1"/>
        <w:numId w:val="1"/>
      </w:numPr>
      <w:spacing w:before="240" w:after="60"/>
      <w:outlineLvl w:val="1"/>
    </w:pPr>
    <w:rPr>
      <w:rFonts w:ascii="Arial" w:hAnsi="Arial"/>
      <w:b/>
      <w:bCs/>
      <w:i/>
      <w:iCs/>
      <w:sz w:val="28"/>
      <w:szCs w:val="28"/>
    </w:rPr>
  </w:style>
  <w:style w:type="paragraph" w:styleId="Antrat3">
    <w:name w:val="heading 3"/>
    <w:basedOn w:val="prastasis"/>
    <w:next w:val="prastasis"/>
    <w:qFormat/>
    <w:pPr>
      <w:keepNext/>
      <w:numPr>
        <w:ilvl w:val="2"/>
        <w:numId w:val="1"/>
      </w:numPr>
      <w:spacing w:before="240" w:after="60"/>
      <w:outlineLvl w:val="2"/>
    </w:pPr>
    <w:rPr>
      <w:rFonts w:ascii="Arial" w:hAnsi="Arial"/>
      <w:b/>
      <w:bCs/>
      <w:sz w:val="26"/>
      <w:szCs w:val="26"/>
    </w:rPr>
  </w:style>
  <w:style w:type="paragraph" w:styleId="Antrat6">
    <w:name w:val="heading 6"/>
    <w:basedOn w:val="prastasis"/>
    <w:next w:val="prastasis"/>
    <w:qFormat/>
    <w:pPr>
      <w:keepNext/>
      <w:autoSpaceDE w:val="0"/>
      <w:ind w:hanging="180"/>
      <w:outlineLvl w:val="5"/>
    </w:pPr>
    <w:rPr>
      <w:rFonts w:ascii="Arial" w:hAnsi="Arial"/>
      <w:b/>
      <w:bCs/>
      <w:sz w:val="20"/>
      <w:szCs w:val="20"/>
      <w:lang w:val="en-US"/>
    </w:rPr>
  </w:style>
  <w:style w:type="paragraph" w:styleId="Antrat7">
    <w:name w:val="heading 7"/>
    <w:basedOn w:val="prastasis"/>
    <w:next w:val="prastasis"/>
    <w:qFormat/>
    <w:pPr>
      <w:keepNext/>
      <w:autoSpaceDE w:val="0"/>
      <w:ind w:hanging="360"/>
      <w:outlineLvl w:val="6"/>
    </w:pPr>
    <w:rPr>
      <w:rFonts w:ascii="Arial" w:hAnsi="Arial"/>
      <w:b/>
      <w:bCs/>
      <w:sz w:val="20"/>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i w:val="0"/>
      <w:iCs w:val="0"/>
      <w:color w:val="000000"/>
      <w:spacing w:val="-1"/>
      <w:w w:val="103"/>
      <w:sz w:val="24"/>
      <w:szCs w:val="24"/>
      <w:lang w:val="lt-LT"/>
    </w:rPr>
  </w:style>
  <w:style w:type="character" w:customStyle="1" w:styleId="WW8Num2z1">
    <w:name w:val="WW8Num2z1"/>
    <w:rPr>
      <w:rFonts w:cs="Times New Roman" w:hint="default"/>
      <w:szCs w:val="24"/>
    </w:rPr>
  </w:style>
  <w:style w:type="character" w:customStyle="1" w:styleId="WW8Num3z0">
    <w:name w:val="WW8Num3z0"/>
    <w:rPr>
      <w:rFonts w:cs="Times New Roman"/>
      <w:b/>
      <w:i w:val="0"/>
    </w:rPr>
  </w:style>
  <w:style w:type="character" w:customStyle="1" w:styleId="WW8Num4z0">
    <w:name w:val="WW8Num4z0"/>
    <w:rPr>
      <w:rFonts w:cs="Times New Roman" w:hint="default"/>
      <w:szCs w:val="24"/>
    </w:rPr>
  </w:style>
  <w:style w:type="character" w:customStyle="1" w:styleId="WW8Num3z2">
    <w:name w:val="WW8Num3z2"/>
    <w:rPr>
      <w:rFonts w:cs="Times New Roman"/>
    </w:rPr>
  </w:style>
  <w:style w:type="character" w:customStyle="1" w:styleId="WW8Num5z0">
    <w:name w:val="WW8Num5z0"/>
    <w:rPr>
      <w:rFonts w:cs="Times New Roman"/>
      <w:i w:val="0"/>
    </w:rPr>
  </w:style>
  <w:style w:type="character" w:customStyle="1" w:styleId="WW8Num5z2">
    <w:name w:val="WW8Num5z2"/>
    <w:rPr>
      <w:rFonts w:cs="Times New Roman"/>
    </w:rPr>
  </w:style>
  <w:style w:type="character" w:customStyle="1" w:styleId="WW8Num6z0">
    <w:name w:val="WW8Num6z0"/>
    <w:rPr>
      <w:rFonts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hint="default"/>
      <w:bCs/>
      <w:i/>
      <w:iCs/>
      <w:color w:val="auto"/>
      <w:szCs w:val="24"/>
    </w:rPr>
  </w:style>
  <w:style w:type="character" w:customStyle="1" w:styleId="WW8Num8z1">
    <w:name w:val="WW8Num8z1"/>
    <w:rPr>
      <w:rFonts w:cs="Times New Roman" w:hint="default"/>
      <w:szCs w:val="24"/>
    </w:rPr>
  </w:style>
  <w:style w:type="character" w:customStyle="1" w:styleId="WW8Num9z0">
    <w:name w:val="WW8Num9z0"/>
    <w:rPr>
      <w:rFonts w:cs="Times New Roman"/>
    </w:rPr>
  </w:style>
  <w:style w:type="character" w:customStyle="1" w:styleId="WW8Num10z0">
    <w:name w:val="WW8Num10z0"/>
    <w:rPr>
      <w:rFonts w:ascii="Wingdings" w:hAnsi="Wingdings" w:cs="Wingdings" w:hint="default"/>
    </w:rPr>
  </w:style>
  <w:style w:type="character" w:customStyle="1" w:styleId="WW8Num10z1">
    <w:name w:val="WW8Num10z1"/>
    <w:rPr>
      <w:rFonts w:ascii="Courier New" w:hAnsi="Courier New" w:cs="Courier New" w:hint="default"/>
    </w:rPr>
  </w:style>
  <w:style w:type="character" w:customStyle="1" w:styleId="WW8Num10z3">
    <w:name w:val="WW8Num10z3"/>
    <w:rPr>
      <w:rFonts w:ascii="Symbol" w:hAnsi="Symbol" w:cs="Symbol" w:hint="default"/>
    </w:rPr>
  </w:style>
  <w:style w:type="character" w:customStyle="1" w:styleId="WW8Num11z0">
    <w:name w:val="WW8Num11z0"/>
    <w:rPr>
      <w:rFonts w:cs="Times New Roman"/>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imes New Roman"/>
    </w:rPr>
  </w:style>
  <w:style w:type="character" w:customStyle="1" w:styleId="WW8Num14z0">
    <w:name w:val="WW8Num14z0"/>
    <w:rPr>
      <w:rFonts w:ascii="Symbol" w:hAnsi="Symbol" w:cs="Symbol" w:hint="default"/>
      <w:szCs w:val="24"/>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cs="Times New Roman"/>
    </w:rPr>
  </w:style>
  <w:style w:type="character" w:customStyle="1" w:styleId="WW8Num16z0">
    <w:name w:val="WW8Num16z0"/>
    <w:rPr>
      <w:rFonts w:cs="Times New Roman" w:hint="default"/>
    </w:rPr>
  </w:style>
  <w:style w:type="character" w:customStyle="1" w:styleId="WW8Num17z0">
    <w:name w:val="WW8Num17z0"/>
    <w:rPr>
      <w:rFonts w:cs="Times New Roman" w:hint="default"/>
      <w:b w:val="0"/>
    </w:rPr>
  </w:style>
  <w:style w:type="character" w:customStyle="1" w:styleId="WW8Num17z3">
    <w:name w:val="WW8Num17z3"/>
    <w:rPr>
      <w:rFonts w:cs="Times New Roman" w:hint="default"/>
    </w:rPr>
  </w:style>
  <w:style w:type="character" w:customStyle="1" w:styleId="WW8Num18z0">
    <w:name w:val="WW8Num18z0"/>
    <w:rPr>
      <w:rFonts w:cs="Times New Roman" w:hint="default"/>
      <w:b/>
      <w:i w:val="0"/>
    </w:rPr>
  </w:style>
  <w:style w:type="character" w:customStyle="1" w:styleId="WW8Num18z2">
    <w:name w:val="WW8Num18z2"/>
    <w:rPr>
      <w:rFonts w:ascii="Times New Roman" w:hAnsi="Times New Roman" w:cs="Times New Roman" w:hint="default"/>
      <w:b/>
      <w:bCs/>
      <w:i w:val="0"/>
      <w:iCs w:val="0"/>
      <w:caps w:val="0"/>
      <w:smallCaps w:val="0"/>
      <w:strike w:val="0"/>
      <w:dstrike w:val="0"/>
      <w:outline w:val="0"/>
      <w:shadow w:val="0"/>
      <w:color w:val="auto"/>
      <w:spacing w:val="0"/>
      <w:w w:val="100"/>
      <w:kern w:val="1"/>
      <w:position w:val="0"/>
      <w:sz w:val="22"/>
      <w:u w:val="none"/>
      <w:vertAlign w:val="baseline"/>
    </w:rPr>
  </w:style>
  <w:style w:type="character" w:customStyle="1" w:styleId="WW8Num18z4">
    <w:name w:val="WW8Num18z4"/>
    <w:rPr>
      <w:rFonts w:cs="Times New Roman" w:hint="default"/>
      <w:b w:val="0"/>
      <w:i/>
    </w:rPr>
  </w:style>
  <w:style w:type="character" w:customStyle="1" w:styleId="WW8Num18z5">
    <w:name w:val="WW8Num18z5"/>
    <w:rPr>
      <w:rFonts w:cs="Times New Roman" w:hint="default"/>
      <w:b w:val="0"/>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cs="Times New Roman" w:hint="default"/>
      <w:sz w:val="24"/>
      <w:szCs w:val="24"/>
    </w:rPr>
  </w:style>
  <w:style w:type="character" w:customStyle="1" w:styleId="WW8Num22z1">
    <w:name w:val="WW8Num22z1"/>
    <w:rPr>
      <w:rFonts w:cs="Times New Roman" w:hint="default"/>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rPr>
  </w:style>
  <w:style w:type="character" w:customStyle="1" w:styleId="WW8Num25z0">
    <w:name w:val="WW8Num25z0"/>
    <w:rPr>
      <w:rFonts w:cs="Times New Roman" w:hint="default"/>
    </w:rPr>
  </w:style>
  <w:style w:type="character" w:customStyle="1" w:styleId="WW8Num26z0">
    <w:name w:val="WW8Num26z0"/>
    <w:rPr>
      <w:rFonts w:cs="Times New Roman"/>
    </w:rPr>
  </w:style>
  <w:style w:type="character" w:customStyle="1" w:styleId="WW8Num27z0">
    <w:name w:val="WW8Num27z0"/>
    <w:rPr>
      <w:rFonts w:cs="Times New Roman"/>
    </w:rPr>
  </w:style>
  <w:style w:type="character" w:customStyle="1" w:styleId="WW8Num28z0">
    <w:name w:val="WW8Num28z0"/>
    <w:rPr>
      <w:rFonts w:cs="Times New Roman" w:hint="default"/>
      <w:color w:val="auto"/>
    </w:rPr>
  </w:style>
  <w:style w:type="character" w:customStyle="1" w:styleId="WW8Num28z1">
    <w:name w:val="WW8Num28z1"/>
    <w:rPr>
      <w:rFonts w:cs="Times New Roman" w:hint="default"/>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cs="Times New Roman"/>
    </w:rPr>
  </w:style>
  <w:style w:type="character" w:customStyle="1" w:styleId="WW8Num31z0">
    <w:name w:val="WW8Num31z0"/>
    <w:rPr>
      <w:rFonts w:cs="Times New Roman"/>
    </w:rPr>
  </w:style>
  <w:style w:type="character" w:customStyle="1" w:styleId="WW8NumSt11z0">
    <w:name w:val="WW8NumSt11z0"/>
    <w:rPr>
      <w:rFonts w:cs="Times New Roman"/>
    </w:rPr>
  </w:style>
  <w:style w:type="character" w:customStyle="1" w:styleId="WW8NumSt11z1">
    <w:name w:val="WW8NumSt11z1"/>
    <w:rPr>
      <w:rFonts w:cs="Times New Roman"/>
      <w:b w:val="0"/>
    </w:rPr>
  </w:style>
  <w:style w:type="character" w:customStyle="1" w:styleId="WW8NumSt100z0">
    <w:name w:val="WW8NumSt100z0"/>
    <w:rPr>
      <w:rFonts w:cs="Times New Roman"/>
    </w:rPr>
  </w:style>
  <w:style w:type="character" w:customStyle="1" w:styleId="WW8NumSt100z1">
    <w:name w:val="WW8NumSt100z1"/>
    <w:rPr>
      <w:rFonts w:cs="Times New Roman"/>
      <w:b w:val="0"/>
    </w:rPr>
  </w:style>
  <w:style w:type="character" w:customStyle="1" w:styleId="DefaultParagraphFont1">
    <w:name w:val="Default Paragraph Font1"/>
  </w:style>
  <w:style w:type="character" w:customStyle="1" w:styleId="1Char">
    <w:name w:val="1 Char"/>
    <w:rPr>
      <w:rFonts w:ascii="Cambria" w:hAnsi="Cambria" w:cs="Times New Roman"/>
      <w:b/>
      <w:bCs/>
      <w:kern w:val="1"/>
      <w:sz w:val="32"/>
      <w:szCs w:val="32"/>
    </w:rPr>
  </w:style>
  <w:style w:type="character" w:customStyle="1" w:styleId="CharChar13">
    <w:name w:val=" Char Char13"/>
    <w:rPr>
      <w:rFonts w:ascii="Arial" w:hAnsi="Arial" w:cs="Arial"/>
      <w:b/>
      <w:bCs/>
      <w:i/>
      <w:iCs/>
      <w:sz w:val="28"/>
      <w:szCs w:val="28"/>
    </w:rPr>
  </w:style>
  <w:style w:type="character" w:customStyle="1" w:styleId="CharChar12">
    <w:name w:val=" Char Char12"/>
    <w:rPr>
      <w:rFonts w:ascii="Cambria" w:hAnsi="Cambria" w:cs="Times New Roman"/>
      <w:b/>
      <w:bCs/>
      <w:sz w:val="26"/>
      <w:szCs w:val="26"/>
    </w:rPr>
  </w:style>
  <w:style w:type="character" w:customStyle="1" w:styleId="CharChar11">
    <w:name w:val=" Char Char11"/>
    <w:rPr>
      <w:rFonts w:ascii="Calibri" w:hAnsi="Calibri" w:cs="Times New Roman"/>
      <w:b/>
      <w:bCs/>
    </w:rPr>
  </w:style>
  <w:style w:type="character" w:customStyle="1" w:styleId="CharChar10">
    <w:name w:val=" Char Char10"/>
    <w:rPr>
      <w:rFonts w:ascii="Calibri" w:hAnsi="Calibri" w:cs="Times New Roman"/>
      <w:sz w:val="24"/>
      <w:szCs w:val="24"/>
    </w:rPr>
  </w:style>
  <w:style w:type="character" w:customStyle="1" w:styleId="CharChar9">
    <w:name w:val=" Char Char9"/>
    <w:rPr>
      <w:rFonts w:cs="Arial"/>
      <w:sz w:val="16"/>
      <w:szCs w:val="16"/>
    </w:rPr>
  </w:style>
  <w:style w:type="character" w:customStyle="1" w:styleId="CharChar8">
    <w:name w:val=" Char Char8"/>
    <w:rPr>
      <w:rFonts w:cs="Arial"/>
      <w:sz w:val="16"/>
      <w:szCs w:val="16"/>
    </w:rPr>
  </w:style>
  <w:style w:type="character" w:styleId="Hipersaitas">
    <w:name w:val="Hyperlink"/>
    <w:rPr>
      <w:rFonts w:cs="Times New Roman"/>
      <w:color w:val="0000FF"/>
      <w:u w:val="single"/>
    </w:rPr>
  </w:style>
  <w:style w:type="character" w:customStyle="1" w:styleId="CharChar7">
    <w:name w:val=" Char Char7"/>
    <w:rPr>
      <w:rFonts w:cs="Arial"/>
      <w:sz w:val="16"/>
      <w:szCs w:val="16"/>
    </w:rPr>
  </w:style>
  <w:style w:type="character" w:styleId="Puslapionumeris">
    <w:name w:val="page number"/>
    <w:rPr>
      <w:rFonts w:cs="Times New Roman"/>
    </w:rPr>
  </w:style>
  <w:style w:type="character" w:customStyle="1" w:styleId="CharChar6">
    <w:name w:val=" Char Char6"/>
    <w:rPr>
      <w:rFonts w:cs="Arial"/>
      <w:sz w:val="2"/>
    </w:rPr>
  </w:style>
  <w:style w:type="character" w:customStyle="1" w:styleId="CommentReference1">
    <w:name w:val="Comment Reference1"/>
    <w:rPr>
      <w:rFonts w:cs="Times New Roman"/>
      <w:sz w:val="16"/>
      <w:szCs w:val="16"/>
    </w:rPr>
  </w:style>
  <w:style w:type="character" w:customStyle="1" w:styleId="CharChar5">
    <w:name w:val=" Char Char5"/>
    <w:rPr>
      <w:rFonts w:cs="Arial"/>
      <w:sz w:val="20"/>
      <w:szCs w:val="20"/>
    </w:rPr>
  </w:style>
  <w:style w:type="character" w:customStyle="1" w:styleId="CharChar4">
    <w:name w:val=" Char Char4"/>
    <w:rPr>
      <w:rFonts w:cs="Arial"/>
      <w:b/>
      <w:bCs/>
      <w:sz w:val="20"/>
      <w:szCs w:val="20"/>
    </w:rPr>
  </w:style>
  <w:style w:type="character" w:styleId="Perirtashipersaitas">
    <w:name w:val="FollowedHyperlink"/>
    <w:rPr>
      <w:rFonts w:cs="Times New Roman"/>
      <w:color w:val="606420"/>
      <w:u w:val="single"/>
    </w:rPr>
  </w:style>
  <w:style w:type="character" w:customStyle="1" w:styleId="BoldItalic">
    <w:name w:val="Bold Italic"/>
    <w:rPr>
      <w:b/>
      <w:i/>
    </w:rPr>
  </w:style>
  <w:style w:type="character" w:customStyle="1" w:styleId="CharChar3">
    <w:name w:val=" Char Char3"/>
    <w:rPr>
      <w:rFonts w:cs="Arial"/>
      <w:sz w:val="16"/>
      <w:szCs w:val="16"/>
    </w:rPr>
  </w:style>
  <w:style w:type="character" w:customStyle="1" w:styleId="CharChar2">
    <w:name w:val=" Char Char2"/>
    <w:rPr>
      <w:rFonts w:cs="Arial"/>
      <w:sz w:val="16"/>
      <w:szCs w:val="16"/>
    </w:rPr>
  </w:style>
  <w:style w:type="character" w:customStyle="1" w:styleId="CharChar1">
    <w:name w:val=" Char Char1"/>
    <w:rPr>
      <w:rFonts w:cs="Arial"/>
      <w:sz w:val="2"/>
    </w:rPr>
  </w:style>
  <w:style w:type="character" w:customStyle="1" w:styleId="apple-style-span">
    <w:name w:val="apple-style-span"/>
    <w:rPr>
      <w:rFonts w:cs="Times New Roman"/>
    </w:rPr>
  </w:style>
  <w:style w:type="character" w:customStyle="1" w:styleId="apple-converted-space">
    <w:name w:val="apple-converted-space"/>
    <w:rPr>
      <w:rFonts w:cs="Times New Roman"/>
    </w:rPr>
  </w:style>
  <w:style w:type="character" w:customStyle="1" w:styleId="CharChar">
    <w:name w:val=" Char Char"/>
    <w:rPr>
      <w:rFonts w:cs="Arial"/>
      <w:sz w:val="24"/>
      <w:szCs w:val="16"/>
    </w:rPr>
  </w:style>
  <w:style w:type="paragraph" w:customStyle="1" w:styleId="Antrat10">
    <w:name w:val="Antraštė1"/>
    <w:basedOn w:val="prastasis"/>
    <w:next w:val="Pagrindinistekstas"/>
    <w:pPr>
      <w:keepNext/>
      <w:spacing w:before="240" w:after="120"/>
    </w:pPr>
    <w:rPr>
      <w:rFonts w:ascii="Arial" w:eastAsia="Microsoft YaHei" w:hAnsi="Arial" w:cs="Mangal"/>
      <w:sz w:val="28"/>
      <w:szCs w:val="28"/>
    </w:rPr>
  </w:style>
  <w:style w:type="paragraph" w:styleId="Pagrindinistekstas">
    <w:name w:val="Body Text"/>
    <w:basedOn w:val="prastasis"/>
    <w:pPr>
      <w:spacing w:after="120"/>
    </w:pPr>
    <w:rPr>
      <w:rFonts w:cs="Times New Roman"/>
      <w:sz w:val="20"/>
      <w:szCs w:val="20"/>
      <w:lang w:val="en-US"/>
    </w:rPr>
  </w:style>
  <w:style w:type="paragraph" w:styleId="Sraas">
    <w:name w:val="List"/>
    <w:basedOn w:val="Pagrindinistekstas"/>
    <w:rPr>
      <w:rFonts w:cs="Mangal"/>
    </w:rPr>
  </w:style>
  <w:style w:type="paragraph" w:customStyle="1" w:styleId="Pavadinimas1">
    <w:name w:val="Pavadinimas1"/>
    <w:basedOn w:val="prastasis"/>
    <w:pPr>
      <w:suppressLineNumbers/>
      <w:spacing w:before="120" w:after="120"/>
    </w:pPr>
    <w:rPr>
      <w:rFonts w:cs="Mangal"/>
      <w:i/>
      <w:iCs/>
      <w:szCs w:val="24"/>
    </w:rPr>
  </w:style>
  <w:style w:type="paragraph" w:customStyle="1" w:styleId="Rodykl">
    <w:name w:val="Rodyklė"/>
    <w:basedOn w:val="prastasis"/>
    <w:pPr>
      <w:suppressLineNumbers/>
    </w:pPr>
    <w:rPr>
      <w:rFonts w:cs="Mangal"/>
    </w:rPr>
  </w:style>
  <w:style w:type="paragraph" w:customStyle="1" w:styleId="BodyText21">
    <w:name w:val="Body Text 21"/>
    <w:basedOn w:val="prastasis"/>
    <w:pPr>
      <w:autoSpaceDE w:val="0"/>
    </w:pPr>
    <w:rPr>
      <w:rFonts w:ascii="Arial" w:hAnsi="Arial"/>
      <w:sz w:val="20"/>
      <w:szCs w:val="20"/>
      <w:lang w:val="en-US"/>
    </w:rPr>
  </w:style>
  <w:style w:type="paragraph" w:customStyle="1" w:styleId="BodyText31">
    <w:name w:val="Body Text 31"/>
    <w:basedOn w:val="prastasis"/>
    <w:pPr>
      <w:autoSpaceDE w:val="0"/>
    </w:pPr>
    <w:rPr>
      <w:rFonts w:ascii="Arial" w:hAnsi="Arial"/>
      <w:sz w:val="18"/>
      <w:szCs w:val="20"/>
      <w:lang w:val="en-GB"/>
    </w:rPr>
  </w:style>
  <w:style w:type="paragraph" w:customStyle="1" w:styleId="aatitraukt">
    <w:name w:val="a) atitraukt"/>
    <w:pPr>
      <w:widowControl w:val="0"/>
      <w:tabs>
        <w:tab w:val="left" w:pos="737"/>
      </w:tabs>
      <w:suppressAutoHyphens/>
      <w:ind w:left="737" w:hanging="340"/>
      <w:jc w:val="both"/>
    </w:pPr>
    <w:rPr>
      <w:lang w:val="en-US" w:eastAsia="ar-SA"/>
    </w:rPr>
  </w:style>
  <w:style w:type="paragraph" w:customStyle="1" w:styleId="1ai">
    <w:name w:val="1)  a)  (i)"/>
    <w:pPr>
      <w:widowControl w:val="0"/>
      <w:tabs>
        <w:tab w:val="left" w:pos="340"/>
        <w:tab w:val="left" w:pos="737"/>
        <w:tab w:val="left" w:pos="1106"/>
      </w:tabs>
      <w:suppressAutoHyphens/>
      <w:ind w:left="1128" w:hanging="1128"/>
      <w:jc w:val="both"/>
    </w:pPr>
    <w:rPr>
      <w:lang w:val="en-US" w:eastAsia="ar-SA"/>
    </w:rPr>
  </w:style>
  <w:style w:type="paragraph" w:styleId="Turinys1">
    <w:name w:val="toc 1"/>
    <w:basedOn w:val="prastasis"/>
    <w:next w:val="prastasis"/>
    <w:rPr>
      <w:b/>
      <w:sz w:val="28"/>
    </w:rPr>
  </w:style>
  <w:style w:type="paragraph" w:styleId="Turinys2">
    <w:name w:val="toc 2"/>
    <w:basedOn w:val="prastasis"/>
    <w:next w:val="prastasis"/>
    <w:pPr>
      <w:tabs>
        <w:tab w:val="left" w:pos="0"/>
        <w:tab w:val="left" w:pos="720"/>
        <w:tab w:val="right" w:leader="dot" w:pos="9628"/>
      </w:tabs>
      <w:ind w:left="180" w:firstLine="360"/>
    </w:pPr>
    <w:rPr>
      <w:rFonts w:cs="Times New Roman"/>
      <w:b/>
      <w:sz w:val="22"/>
      <w:szCs w:val="22"/>
      <w:lang w:val="lt-LT"/>
    </w:rPr>
  </w:style>
  <w:style w:type="paragraph" w:styleId="Turinys3">
    <w:name w:val="toc 3"/>
    <w:basedOn w:val="prastasis"/>
    <w:next w:val="prastasis"/>
    <w:pPr>
      <w:ind w:left="360" w:firstLine="180"/>
    </w:pPr>
  </w:style>
  <w:style w:type="paragraph" w:styleId="Porat">
    <w:name w:val="footer"/>
    <w:basedOn w:val="prastasis"/>
  </w:style>
  <w:style w:type="paragraph" w:customStyle="1" w:styleId="BalloonText1">
    <w:name w:val="Balloon Text1"/>
    <w:basedOn w:val="prastasis"/>
    <w:rPr>
      <w:rFonts w:ascii="Tahoma" w:hAnsi="Tahoma" w:cs="Tahoma"/>
    </w:rPr>
  </w:style>
  <w:style w:type="paragraph" w:customStyle="1" w:styleId="finmingeneral">
    <w:name w:val="finmin general"/>
    <w:basedOn w:val="prastasis"/>
    <w:pPr>
      <w:widowControl w:val="0"/>
      <w:autoSpaceDE w:val="0"/>
      <w:spacing w:before="240" w:line="320" w:lineRule="atLeast"/>
      <w:jc w:val="both"/>
    </w:pPr>
    <w:rPr>
      <w:rFonts w:cs="Times New Roman"/>
      <w:szCs w:val="24"/>
    </w:rPr>
  </w:style>
  <w:style w:type="paragraph" w:customStyle="1" w:styleId="finminsub1">
    <w:name w:val="finmin sub 1"/>
    <w:basedOn w:val="finmingeneral"/>
  </w:style>
  <w:style w:type="paragraph" w:customStyle="1" w:styleId="CommentText1">
    <w:name w:val="Comment Text1"/>
    <w:basedOn w:val="prastasis"/>
    <w:rPr>
      <w:sz w:val="20"/>
      <w:szCs w:val="20"/>
    </w:rPr>
  </w:style>
  <w:style w:type="paragraph" w:customStyle="1" w:styleId="CommentSubject1">
    <w:name w:val="Comment Subject1"/>
    <w:basedOn w:val="CommentText1"/>
    <w:next w:val="CommentText1"/>
    <w:rPr>
      <w:b/>
      <w:bCs/>
    </w:rPr>
  </w:style>
  <w:style w:type="paragraph" w:customStyle="1" w:styleId="CM16">
    <w:name w:val="CM16"/>
    <w:basedOn w:val="prastasis"/>
    <w:next w:val="prastasis"/>
    <w:pPr>
      <w:widowControl w:val="0"/>
      <w:autoSpaceDE w:val="0"/>
      <w:spacing w:after="243"/>
    </w:pPr>
    <w:rPr>
      <w:rFonts w:cs="Times New Roman"/>
      <w:szCs w:val="24"/>
      <w:lang w:val="en-US"/>
    </w:rPr>
  </w:style>
  <w:style w:type="paragraph" w:customStyle="1" w:styleId="Bodytext">
    <w:name w:val="Body text"/>
    <w:pPr>
      <w:widowControl w:val="0"/>
      <w:tabs>
        <w:tab w:val="left" w:pos="397"/>
      </w:tabs>
      <w:suppressAutoHyphens/>
      <w:ind w:left="397" w:hanging="397"/>
      <w:jc w:val="both"/>
    </w:pPr>
    <w:rPr>
      <w:color w:val="000000"/>
      <w:lang w:val="en-US" w:eastAsia="ar-SA"/>
    </w:rPr>
  </w:style>
  <w:style w:type="paragraph" w:customStyle="1" w:styleId="CM17">
    <w:name w:val="CM17"/>
    <w:basedOn w:val="prastasis"/>
    <w:next w:val="prastasis"/>
    <w:pPr>
      <w:widowControl w:val="0"/>
      <w:autoSpaceDE w:val="0"/>
      <w:spacing w:after="348"/>
    </w:pPr>
    <w:rPr>
      <w:rFonts w:cs="Times New Roman"/>
      <w:szCs w:val="24"/>
      <w:lang w:val="en-US"/>
    </w:rPr>
  </w:style>
  <w:style w:type="paragraph" w:styleId="Antrats">
    <w:name w:val="header"/>
    <w:basedOn w:val="prastasis"/>
  </w:style>
  <w:style w:type="paragraph" w:customStyle="1" w:styleId="List21">
    <w:name w:val="List 21"/>
    <w:basedOn w:val="prastasis"/>
    <w:pPr>
      <w:ind w:left="566" w:hanging="283"/>
    </w:pPr>
  </w:style>
  <w:style w:type="paragraph" w:customStyle="1" w:styleId="List31">
    <w:name w:val="List 31"/>
    <w:basedOn w:val="prastasis"/>
    <w:pPr>
      <w:ind w:left="849" w:hanging="283"/>
    </w:pPr>
  </w:style>
  <w:style w:type="paragraph" w:customStyle="1" w:styleId="List41">
    <w:name w:val="List 41"/>
    <w:basedOn w:val="prastasis"/>
    <w:pPr>
      <w:ind w:left="1132" w:hanging="283"/>
    </w:pPr>
  </w:style>
  <w:style w:type="paragraph" w:customStyle="1" w:styleId="List51">
    <w:name w:val="List 51"/>
    <w:basedOn w:val="prastasis"/>
    <w:pPr>
      <w:ind w:left="1415" w:hanging="283"/>
    </w:pPr>
  </w:style>
  <w:style w:type="paragraph" w:customStyle="1" w:styleId="DocumentMap1">
    <w:name w:val="Document Map1"/>
    <w:basedOn w:val="prastasis"/>
    <w:pPr>
      <w:shd w:val="clear" w:color="auto" w:fill="000080"/>
    </w:pPr>
    <w:rPr>
      <w:rFonts w:ascii="Tahoma" w:hAnsi="Tahoma" w:cs="Tahoma"/>
    </w:rPr>
  </w:style>
  <w:style w:type="paragraph" w:customStyle="1" w:styleId="CharChar0">
    <w:name w:val="Char Char"/>
    <w:basedOn w:val="prastasis"/>
    <w:pPr>
      <w:spacing w:after="160" w:line="240" w:lineRule="exact"/>
    </w:pPr>
    <w:rPr>
      <w:rFonts w:ascii="Tahoma" w:hAnsi="Tahoma" w:cs="Times New Roman"/>
      <w:sz w:val="20"/>
      <w:szCs w:val="20"/>
      <w:lang w:val="en-US"/>
    </w:rPr>
  </w:style>
  <w:style w:type="paragraph" w:customStyle="1" w:styleId="Paragrafas1">
    <w:name w:val="Paragrafas 1"/>
    <w:basedOn w:val="prastasis"/>
    <w:pPr>
      <w:autoSpaceDE w:val="0"/>
      <w:spacing w:before="9"/>
      <w:jc w:val="both"/>
    </w:pPr>
    <w:rPr>
      <w:rFonts w:ascii="Arial" w:hAnsi="Arial"/>
      <w:color w:val="000000"/>
      <w:sz w:val="20"/>
      <w:szCs w:val="20"/>
    </w:rPr>
  </w:style>
  <w:style w:type="paragraph" w:customStyle="1" w:styleId="Paragrafas111">
    <w:name w:val="Paragrafas 1.1.1"/>
    <w:basedOn w:val="prastasis"/>
    <w:pPr>
      <w:autoSpaceDE w:val="0"/>
      <w:jc w:val="both"/>
    </w:pPr>
    <w:rPr>
      <w:rFonts w:ascii="Arial" w:hAnsi="Arial"/>
      <w:sz w:val="20"/>
      <w:szCs w:val="20"/>
    </w:rPr>
  </w:style>
  <w:style w:type="paragraph" w:customStyle="1" w:styleId="listparagraph">
    <w:name w:val="listparagraph"/>
    <w:basedOn w:val="prastasis"/>
    <w:pPr>
      <w:spacing w:before="280" w:after="280"/>
    </w:pPr>
    <w:rPr>
      <w:rFonts w:cs="Times New Roman"/>
      <w:szCs w:val="24"/>
    </w:rPr>
  </w:style>
  <w:style w:type="paragraph" w:styleId="Pataisymai">
    <w:name w:val="Revision"/>
    <w:pPr>
      <w:suppressAutoHyphens/>
    </w:pPr>
    <w:rPr>
      <w:rFonts w:cs="Arial"/>
      <w:sz w:val="24"/>
      <w:szCs w:val="16"/>
      <w:lang w:eastAsia="ar-SA"/>
    </w:rPr>
  </w:style>
  <w:style w:type="paragraph" w:styleId="Sraopastraipa">
    <w:name w:val="List Paragraph"/>
    <w:basedOn w:val="prastasis"/>
    <w:qFormat/>
    <w:pPr>
      <w:ind w:left="720"/>
    </w:pPr>
  </w:style>
  <w:style w:type="paragraph" w:styleId="Turinys5">
    <w:name w:val="toc 5"/>
    <w:basedOn w:val="prastasis"/>
    <w:next w:val="prastasis"/>
    <w:pPr>
      <w:spacing w:after="100"/>
    </w:pPr>
  </w:style>
  <w:style w:type="paragraph" w:styleId="Pagrindiniotekstotrauka">
    <w:name w:val="Body Text Indent"/>
    <w:basedOn w:val="prastasis"/>
    <w:pPr>
      <w:spacing w:after="120"/>
      <w:ind w:left="283"/>
    </w:pPr>
  </w:style>
  <w:style w:type="paragraph" w:styleId="Turinys4">
    <w:name w:val="toc 4"/>
    <w:basedOn w:val="prastasis"/>
    <w:next w:val="prastasis"/>
    <w:pPr>
      <w:spacing w:after="100" w:line="276" w:lineRule="auto"/>
      <w:ind w:left="660"/>
    </w:pPr>
    <w:rPr>
      <w:rFonts w:ascii="Calibri" w:hAnsi="Calibri" w:cs="Times New Roman"/>
      <w:sz w:val="22"/>
      <w:szCs w:val="22"/>
    </w:rPr>
  </w:style>
  <w:style w:type="paragraph" w:styleId="Turinys6">
    <w:name w:val="toc 6"/>
    <w:basedOn w:val="prastasis"/>
    <w:next w:val="prastasis"/>
    <w:pPr>
      <w:spacing w:after="100" w:line="276" w:lineRule="auto"/>
      <w:ind w:left="1100"/>
    </w:pPr>
    <w:rPr>
      <w:rFonts w:ascii="Calibri" w:hAnsi="Calibri" w:cs="Times New Roman"/>
      <w:sz w:val="22"/>
      <w:szCs w:val="22"/>
    </w:rPr>
  </w:style>
  <w:style w:type="paragraph" w:styleId="Turinys7">
    <w:name w:val="toc 7"/>
    <w:basedOn w:val="prastasis"/>
    <w:next w:val="prastasis"/>
    <w:pPr>
      <w:spacing w:after="100" w:line="276" w:lineRule="auto"/>
      <w:ind w:left="1320"/>
    </w:pPr>
    <w:rPr>
      <w:rFonts w:ascii="Calibri" w:hAnsi="Calibri" w:cs="Times New Roman"/>
      <w:sz w:val="22"/>
      <w:szCs w:val="22"/>
    </w:rPr>
  </w:style>
  <w:style w:type="paragraph" w:styleId="Turinys8">
    <w:name w:val="toc 8"/>
    <w:basedOn w:val="prastasis"/>
    <w:next w:val="prastasis"/>
    <w:pPr>
      <w:spacing w:after="100" w:line="276" w:lineRule="auto"/>
      <w:ind w:left="1540"/>
    </w:pPr>
    <w:rPr>
      <w:rFonts w:ascii="Calibri" w:hAnsi="Calibri" w:cs="Times New Roman"/>
      <w:sz w:val="22"/>
      <w:szCs w:val="22"/>
    </w:rPr>
  </w:style>
  <w:style w:type="paragraph" w:styleId="Turinys9">
    <w:name w:val="toc 9"/>
    <w:basedOn w:val="prastasis"/>
    <w:next w:val="prastasis"/>
    <w:pPr>
      <w:spacing w:after="100" w:line="276" w:lineRule="auto"/>
      <w:ind w:left="1760"/>
    </w:pPr>
    <w:rPr>
      <w:rFonts w:ascii="Calibri" w:hAnsi="Calibri" w:cs="Times New Roman"/>
      <w:sz w:val="22"/>
      <w:szCs w:val="22"/>
    </w:rPr>
  </w:style>
  <w:style w:type="paragraph" w:customStyle="1" w:styleId="Turinys10">
    <w:name w:val="Turinys 10"/>
    <w:basedOn w:val="Rodykl"/>
    <w:pPr>
      <w:tabs>
        <w:tab w:val="right" w:leader="dot" w:pos="7091"/>
      </w:tabs>
      <w:ind w:left="2547"/>
    </w:p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customStyle="1" w:styleId="Kadroturinys">
    <w:name w:val="Kadro turinys"/>
    <w:basedOn w:val="Pagrindinistekstas"/>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40950</Words>
  <Characters>23343</Characters>
  <Application>Microsoft Office Word</Application>
  <DocSecurity>0</DocSecurity>
  <Lines>194</Lines>
  <Paragraphs>128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Apskaitos vadovo standartinė forma</vt:lpstr>
      <vt:lpstr>Apskaitos vadovo standartinė forma</vt:lpstr>
    </vt:vector>
  </TitlesOfParts>
  <Company/>
  <LinksUpToDate>false</LinksUpToDate>
  <CharactersWithSpaces>64165</CharactersWithSpaces>
  <SharedDoc>false</SharedDoc>
  <HLinks>
    <vt:vector size="258" baseType="variant">
      <vt:variant>
        <vt:i4>8061001</vt:i4>
      </vt:variant>
      <vt:variant>
        <vt:i4>128</vt:i4>
      </vt:variant>
      <vt:variant>
        <vt:i4>0</vt:i4>
      </vt:variant>
      <vt:variant>
        <vt:i4>5</vt:i4>
      </vt:variant>
      <vt:variant>
        <vt:lpwstr/>
      </vt:variant>
      <vt:variant>
        <vt:lpwstr>__RefHeading___Toc286760016</vt:lpwstr>
      </vt:variant>
      <vt:variant>
        <vt:i4>8061001</vt:i4>
      </vt:variant>
      <vt:variant>
        <vt:i4>125</vt:i4>
      </vt:variant>
      <vt:variant>
        <vt:i4>0</vt:i4>
      </vt:variant>
      <vt:variant>
        <vt:i4>5</vt:i4>
      </vt:variant>
      <vt:variant>
        <vt:lpwstr/>
      </vt:variant>
      <vt:variant>
        <vt:lpwstr>__RefHeading___Toc286760015</vt:lpwstr>
      </vt:variant>
      <vt:variant>
        <vt:i4>8061001</vt:i4>
      </vt:variant>
      <vt:variant>
        <vt:i4>122</vt:i4>
      </vt:variant>
      <vt:variant>
        <vt:i4>0</vt:i4>
      </vt:variant>
      <vt:variant>
        <vt:i4>5</vt:i4>
      </vt:variant>
      <vt:variant>
        <vt:lpwstr/>
      </vt:variant>
      <vt:variant>
        <vt:lpwstr>__RefHeading___Toc286760014</vt:lpwstr>
      </vt:variant>
      <vt:variant>
        <vt:i4>8061001</vt:i4>
      </vt:variant>
      <vt:variant>
        <vt:i4>119</vt:i4>
      </vt:variant>
      <vt:variant>
        <vt:i4>0</vt:i4>
      </vt:variant>
      <vt:variant>
        <vt:i4>5</vt:i4>
      </vt:variant>
      <vt:variant>
        <vt:lpwstr/>
      </vt:variant>
      <vt:variant>
        <vt:lpwstr>__RefHeading___Toc286760013</vt:lpwstr>
      </vt:variant>
      <vt:variant>
        <vt:i4>8061001</vt:i4>
      </vt:variant>
      <vt:variant>
        <vt:i4>116</vt:i4>
      </vt:variant>
      <vt:variant>
        <vt:i4>0</vt:i4>
      </vt:variant>
      <vt:variant>
        <vt:i4>5</vt:i4>
      </vt:variant>
      <vt:variant>
        <vt:lpwstr/>
      </vt:variant>
      <vt:variant>
        <vt:lpwstr>__RefHeading___Toc286760012</vt:lpwstr>
      </vt:variant>
      <vt:variant>
        <vt:i4>8061001</vt:i4>
      </vt:variant>
      <vt:variant>
        <vt:i4>113</vt:i4>
      </vt:variant>
      <vt:variant>
        <vt:i4>0</vt:i4>
      </vt:variant>
      <vt:variant>
        <vt:i4>5</vt:i4>
      </vt:variant>
      <vt:variant>
        <vt:lpwstr/>
      </vt:variant>
      <vt:variant>
        <vt:lpwstr>__RefHeading___Toc286760011</vt:lpwstr>
      </vt:variant>
      <vt:variant>
        <vt:i4>7995465</vt:i4>
      </vt:variant>
      <vt:variant>
        <vt:i4>110</vt:i4>
      </vt:variant>
      <vt:variant>
        <vt:i4>0</vt:i4>
      </vt:variant>
      <vt:variant>
        <vt:i4>5</vt:i4>
      </vt:variant>
      <vt:variant>
        <vt:lpwstr/>
      </vt:variant>
      <vt:variant>
        <vt:lpwstr>__RefHeading___Toc286760006</vt:lpwstr>
      </vt:variant>
      <vt:variant>
        <vt:i4>7995465</vt:i4>
      </vt:variant>
      <vt:variant>
        <vt:i4>107</vt:i4>
      </vt:variant>
      <vt:variant>
        <vt:i4>0</vt:i4>
      </vt:variant>
      <vt:variant>
        <vt:i4>5</vt:i4>
      </vt:variant>
      <vt:variant>
        <vt:lpwstr/>
      </vt:variant>
      <vt:variant>
        <vt:lpwstr>__RefHeading___Toc286760005</vt:lpwstr>
      </vt:variant>
      <vt:variant>
        <vt:i4>7995465</vt:i4>
      </vt:variant>
      <vt:variant>
        <vt:i4>104</vt:i4>
      </vt:variant>
      <vt:variant>
        <vt:i4>0</vt:i4>
      </vt:variant>
      <vt:variant>
        <vt:i4>5</vt:i4>
      </vt:variant>
      <vt:variant>
        <vt:lpwstr/>
      </vt:variant>
      <vt:variant>
        <vt:lpwstr>__RefHeading___Toc286760004</vt:lpwstr>
      </vt:variant>
      <vt:variant>
        <vt:i4>7995465</vt:i4>
      </vt:variant>
      <vt:variant>
        <vt:i4>101</vt:i4>
      </vt:variant>
      <vt:variant>
        <vt:i4>0</vt:i4>
      </vt:variant>
      <vt:variant>
        <vt:i4>5</vt:i4>
      </vt:variant>
      <vt:variant>
        <vt:lpwstr/>
      </vt:variant>
      <vt:variant>
        <vt:lpwstr>__RefHeading___Toc286760003</vt:lpwstr>
      </vt:variant>
      <vt:variant>
        <vt:i4>7995465</vt:i4>
      </vt:variant>
      <vt:variant>
        <vt:i4>98</vt:i4>
      </vt:variant>
      <vt:variant>
        <vt:i4>0</vt:i4>
      </vt:variant>
      <vt:variant>
        <vt:i4>5</vt:i4>
      </vt:variant>
      <vt:variant>
        <vt:lpwstr/>
      </vt:variant>
      <vt:variant>
        <vt:lpwstr>__RefHeading___Toc286760002</vt:lpwstr>
      </vt:variant>
      <vt:variant>
        <vt:i4>7995465</vt:i4>
      </vt:variant>
      <vt:variant>
        <vt:i4>95</vt:i4>
      </vt:variant>
      <vt:variant>
        <vt:i4>0</vt:i4>
      </vt:variant>
      <vt:variant>
        <vt:i4>5</vt:i4>
      </vt:variant>
      <vt:variant>
        <vt:lpwstr/>
      </vt:variant>
      <vt:variant>
        <vt:lpwstr>__RefHeading___Toc286760001</vt:lpwstr>
      </vt:variant>
      <vt:variant>
        <vt:i4>7995465</vt:i4>
      </vt:variant>
      <vt:variant>
        <vt:i4>92</vt:i4>
      </vt:variant>
      <vt:variant>
        <vt:i4>0</vt:i4>
      </vt:variant>
      <vt:variant>
        <vt:i4>5</vt:i4>
      </vt:variant>
      <vt:variant>
        <vt:lpwstr/>
      </vt:variant>
      <vt:variant>
        <vt:lpwstr>__RefHeading___Toc286760000</vt:lpwstr>
      </vt:variant>
      <vt:variant>
        <vt:i4>7995459</vt:i4>
      </vt:variant>
      <vt:variant>
        <vt:i4>89</vt:i4>
      </vt:variant>
      <vt:variant>
        <vt:i4>0</vt:i4>
      </vt:variant>
      <vt:variant>
        <vt:i4>5</vt:i4>
      </vt:variant>
      <vt:variant>
        <vt:lpwstr/>
      </vt:variant>
      <vt:variant>
        <vt:lpwstr>__RefHeading___Toc286759999</vt:lpwstr>
      </vt:variant>
      <vt:variant>
        <vt:i4>7995459</vt:i4>
      </vt:variant>
      <vt:variant>
        <vt:i4>86</vt:i4>
      </vt:variant>
      <vt:variant>
        <vt:i4>0</vt:i4>
      </vt:variant>
      <vt:variant>
        <vt:i4>5</vt:i4>
      </vt:variant>
      <vt:variant>
        <vt:lpwstr/>
      </vt:variant>
      <vt:variant>
        <vt:lpwstr>__RefHeading___Toc286759998</vt:lpwstr>
      </vt:variant>
      <vt:variant>
        <vt:i4>7995459</vt:i4>
      </vt:variant>
      <vt:variant>
        <vt:i4>83</vt:i4>
      </vt:variant>
      <vt:variant>
        <vt:i4>0</vt:i4>
      </vt:variant>
      <vt:variant>
        <vt:i4>5</vt:i4>
      </vt:variant>
      <vt:variant>
        <vt:lpwstr/>
      </vt:variant>
      <vt:variant>
        <vt:lpwstr>__RefHeading___Toc286759997</vt:lpwstr>
      </vt:variant>
      <vt:variant>
        <vt:i4>7995459</vt:i4>
      </vt:variant>
      <vt:variant>
        <vt:i4>80</vt:i4>
      </vt:variant>
      <vt:variant>
        <vt:i4>0</vt:i4>
      </vt:variant>
      <vt:variant>
        <vt:i4>5</vt:i4>
      </vt:variant>
      <vt:variant>
        <vt:lpwstr/>
      </vt:variant>
      <vt:variant>
        <vt:lpwstr>__RefHeading___Toc286759996</vt:lpwstr>
      </vt:variant>
      <vt:variant>
        <vt:i4>7995459</vt:i4>
      </vt:variant>
      <vt:variant>
        <vt:i4>77</vt:i4>
      </vt:variant>
      <vt:variant>
        <vt:i4>0</vt:i4>
      </vt:variant>
      <vt:variant>
        <vt:i4>5</vt:i4>
      </vt:variant>
      <vt:variant>
        <vt:lpwstr/>
      </vt:variant>
      <vt:variant>
        <vt:lpwstr>__RefHeading___Toc286759995</vt:lpwstr>
      </vt:variant>
      <vt:variant>
        <vt:i4>7995459</vt:i4>
      </vt:variant>
      <vt:variant>
        <vt:i4>74</vt:i4>
      </vt:variant>
      <vt:variant>
        <vt:i4>0</vt:i4>
      </vt:variant>
      <vt:variant>
        <vt:i4>5</vt:i4>
      </vt:variant>
      <vt:variant>
        <vt:lpwstr/>
      </vt:variant>
      <vt:variant>
        <vt:lpwstr>__RefHeading___Toc286759994</vt:lpwstr>
      </vt:variant>
      <vt:variant>
        <vt:i4>7995459</vt:i4>
      </vt:variant>
      <vt:variant>
        <vt:i4>71</vt:i4>
      </vt:variant>
      <vt:variant>
        <vt:i4>0</vt:i4>
      </vt:variant>
      <vt:variant>
        <vt:i4>5</vt:i4>
      </vt:variant>
      <vt:variant>
        <vt:lpwstr/>
      </vt:variant>
      <vt:variant>
        <vt:lpwstr>__RefHeading___Toc286759993</vt:lpwstr>
      </vt:variant>
      <vt:variant>
        <vt:i4>7995459</vt:i4>
      </vt:variant>
      <vt:variant>
        <vt:i4>68</vt:i4>
      </vt:variant>
      <vt:variant>
        <vt:i4>0</vt:i4>
      </vt:variant>
      <vt:variant>
        <vt:i4>5</vt:i4>
      </vt:variant>
      <vt:variant>
        <vt:lpwstr/>
      </vt:variant>
      <vt:variant>
        <vt:lpwstr>__RefHeading___Toc286759992</vt:lpwstr>
      </vt:variant>
      <vt:variant>
        <vt:i4>7995459</vt:i4>
      </vt:variant>
      <vt:variant>
        <vt:i4>65</vt:i4>
      </vt:variant>
      <vt:variant>
        <vt:i4>0</vt:i4>
      </vt:variant>
      <vt:variant>
        <vt:i4>5</vt:i4>
      </vt:variant>
      <vt:variant>
        <vt:lpwstr/>
      </vt:variant>
      <vt:variant>
        <vt:lpwstr>__RefHeading___Toc286759991</vt:lpwstr>
      </vt:variant>
      <vt:variant>
        <vt:i4>7995459</vt:i4>
      </vt:variant>
      <vt:variant>
        <vt:i4>62</vt:i4>
      </vt:variant>
      <vt:variant>
        <vt:i4>0</vt:i4>
      </vt:variant>
      <vt:variant>
        <vt:i4>5</vt:i4>
      </vt:variant>
      <vt:variant>
        <vt:lpwstr/>
      </vt:variant>
      <vt:variant>
        <vt:lpwstr>__RefHeading___Toc286759990</vt:lpwstr>
      </vt:variant>
      <vt:variant>
        <vt:i4>8060995</vt:i4>
      </vt:variant>
      <vt:variant>
        <vt:i4>59</vt:i4>
      </vt:variant>
      <vt:variant>
        <vt:i4>0</vt:i4>
      </vt:variant>
      <vt:variant>
        <vt:i4>5</vt:i4>
      </vt:variant>
      <vt:variant>
        <vt:lpwstr/>
      </vt:variant>
      <vt:variant>
        <vt:lpwstr>__RefHeading___Toc286759989</vt:lpwstr>
      </vt:variant>
      <vt:variant>
        <vt:i4>8060995</vt:i4>
      </vt:variant>
      <vt:variant>
        <vt:i4>56</vt:i4>
      </vt:variant>
      <vt:variant>
        <vt:i4>0</vt:i4>
      </vt:variant>
      <vt:variant>
        <vt:i4>5</vt:i4>
      </vt:variant>
      <vt:variant>
        <vt:lpwstr/>
      </vt:variant>
      <vt:variant>
        <vt:lpwstr>__RefHeading___Toc286759988</vt:lpwstr>
      </vt:variant>
      <vt:variant>
        <vt:i4>8060995</vt:i4>
      </vt:variant>
      <vt:variant>
        <vt:i4>53</vt:i4>
      </vt:variant>
      <vt:variant>
        <vt:i4>0</vt:i4>
      </vt:variant>
      <vt:variant>
        <vt:i4>5</vt:i4>
      </vt:variant>
      <vt:variant>
        <vt:lpwstr/>
      </vt:variant>
      <vt:variant>
        <vt:lpwstr>__RefHeading___Toc286759987</vt:lpwstr>
      </vt:variant>
      <vt:variant>
        <vt:i4>8060995</vt:i4>
      </vt:variant>
      <vt:variant>
        <vt:i4>50</vt:i4>
      </vt:variant>
      <vt:variant>
        <vt:i4>0</vt:i4>
      </vt:variant>
      <vt:variant>
        <vt:i4>5</vt:i4>
      </vt:variant>
      <vt:variant>
        <vt:lpwstr/>
      </vt:variant>
      <vt:variant>
        <vt:lpwstr>__RefHeading___Toc286759986</vt:lpwstr>
      </vt:variant>
      <vt:variant>
        <vt:i4>8060995</vt:i4>
      </vt:variant>
      <vt:variant>
        <vt:i4>47</vt:i4>
      </vt:variant>
      <vt:variant>
        <vt:i4>0</vt:i4>
      </vt:variant>
      <vt:variant>
        <vt:i4>5</vt:i4>
      </vt:variant>
      <vt:variant>
        <vt:lpwstr/>
      </vt:variant>
      <vt:variant>
        <vt:lpwstr>__RefHeading___Toc286759985</vt:lpwstr>
      </vt:variant>
      <vt:variant>
        <vt:i4>8060995</vt:i4>
      </vt:variant>
      <vt:variant>
        <vt:i4>44</vt:i4>
      </vt:variant>
      <vt:variant>
        <vt:i4>0</vt:i4>
      </vt:variant>
      <vt:variant>
        <vt:i4>5</vt:i4>
      </vt:variant>
      <vt:variant>
        <vt:lpwstr/>
      </vt:variant>
      <vt:variant>
        <vt:lpwstr>__RefHeading___Toc286759984</vt:lpwstr>
      </vt:variant>
      <vt:variant>
        <vt:i4>8060995</vt:i4>
      </vt:variant>
      <vt:variant>
        <vt:i4>41</vt:i4>
      </vt:variant>
      <vt:variant>
        <vt:i4>0</vt:i4>
      </vt:variant>
      <vt:variant>
        <vt:i4>5</vt:i4>
      </vt:variant>
      <vt:variant>
        <vt:lpwstr/>
      </vt:variant>
      <vt:variant>
        <vt:lpwstr>__RefHeading___Toc286759983</vt:lpwstr>
      </vt:variant>
      <vt:variant>
        <vt:i4>8060995</vt:i4>
      </vt:variant>
      <vt:variant>
        <vt:i4>38</vt:i4>
      </vt:variant>
      <vt:variant>
        <vt:i4>0</vt:i4>
      </vt:variant>
      <vt:variant>
        <vt:i4>5</vt:i4>
      </vt:variant>
      <vt:variant>
        <vt:lpwstr/>
      </vt:variant>
      <vt:variant>
        <vt:lpwstr>__RefHeading___Toc286759982</vt:lpwstr>
      </vt:variant>
      <vt:variant>
        <vt:i4>8060995</vt:i4>
      </vt:variant>
      <vt:variant>
        <vt:i4>35</vt:i4>
      </vt:variant>
      <vt:variant>
        <vt:i4>0</vt:i4>
      </vt:variant>
      <vt:variant>
        <vt:i4>5</vt:i4>
      </vt:variant>
      <vt:variant>
        <vt:lpwstr/>
      </vt:variant>
      <vt:variant>
        <vt:lpwstr>__RefHeading___Toc286759981</vt:lpwstr>
      </vt:variant>
      <vt:variant>
        <vt:i4>8060995</vt:i4>
      </vt:variant>
      <vt:variant>
        <vt:i4>32</vt:i4>
      </vt:variant>
      <vt:variant>
        <vt:i4>0</vt:i4>
      </vt:variant>
      <vt:variant>
        <vt:i4>5</vt:i4>
      </vt:variant>
      <vt:variant>
        <vt:lpwstr/>
      </vt:variant>
      <vt:variant>
        <vt:lpwstr>__RefHeading___Toc286759980</vt:lpwstr>
      </vt:variant>
      <vt:variant>
        <vt:i4>7602243</vt:i4>
      </vt:variant>
      <vt:variant>
        <vt:i4>29</vt:i4>
      </vt:variant>
      <vt:variant>
        <vt:i4>0</vt:i4>
      </vt:variant>
      <vt:variant>
        <vt:i4>5</vt:i4>
      </vt:variant>
      <vt:variant>
        <vt:lpwstr/>
      </vt:variant>
      <vt:variant>
        <vt:lpwstr>__RefHeading___Toc286759979</vt:lpwstr>
      </vt:variant>
      <vt:variant>
        <vt:i4>7602243</vt:i4>
      </vt:variant>
      <vt:variant>
        <vt:i4>26</vt:i4>
      </vt:variant>
      <vt:variant>
        <vt:i4>0</vt:i4>
      </vt:variant>
      <vt:variant>
        <vt:i4>5</vt:i4>
      </vt:variant>
      <vt:variant>
        <vt:lpwstr/>
      </vt:variant>
      <vt:variant>
        <vt:lpwstr>__RefHeading___Toc286759978</vt:lpwstr>
      </vt:variant>
      <vt:variant>
        <vt:i4>7602243</vt:i4>
      </vt:variant>
      <vt:variant>
        <vt:i4>23</vt:i4>
      </vt:variant>
      <vt:variant>
        <vt:i4>0</vt:i4>
      </vt:variant>
      <vt:variant>
        <vt:i4>5</vt:i4>
      </vt:variant>
      <vt:variant>
        <vt:lpwstr/>
      </vt:variant>
      <vt:variant>
        <vt:lpwstr>__RefHeading___Toc286759977</vt:lpwstr>
      </vt:variant>
      <vt:variant>
        <vt:i4>7602243</vt:i4>
      </vt:variant>
      <vt:variant>
        <vt:i4>20</vt:i4>
      </vt:variant>
      <vt:variant>
        <vt:i4>0</vt:i4>
      </vt:variant>
      <vt:variant>
        <vt:i4>5</vt:i4>
      </vt:variant>
      <vt:variant>
        <vt:lpwstr/>
      </vt:variant>
      <vt:variant>
        <vt:lpwstr>__RefHeading___Toc286759976</vt:lpwstr>
      </vt:variant>
      <vt:variant>
        <vt:i4>7602243</vt:i4>
      </vt:variant>
      <vt:variant>
        <vt:i4>17</vt:i4>
      </vt:variant>
      <vt:variant>
        <vt:i4>0</vt:i4>
      </vt:variant>
      <vt:variant>
        <vt:i4>5</vt:i4>
      </vt:variant>
      <vt:variant>
        <vt:lpwstr/>
      </vt:variant>
      <vt:variant>
        <vt:lpwstr>__RefHeading___Toc286759975</vt:lpwstr>
      </vt:variant>
      <vt:variant>
        <vt:i4>7602243</vt:i4>
      </vt:variant>
      <vt:variant>
        <vt:i4>14</vt:i4>
      </vt:variant>
      <vt:variant>
        <vt:i4>0</vt:i4>
      </vt:variant>
      <vt:variant>
        <vt:i4>5</vt:i4>
      </vt:variant>
      <vt:variant>
        <vt:lpwstr/>
      </vt:variant>
      <vt:variant>
        <vt:lpwstr>__RefHeading___Toc286759974</vt:lpwstr>
      </vt:variant>
      <vt:variant>
        <vt:i4>7602243</vt:i4>
      </vt:variant>
      <vt:variant>
        <vt:i4>11</vt:i4>
      </vt:variant>
      <vt:variant>
        <vt:i4>0</vt:i4>
      </vt:variant>
      <vt:variant>
        <vt:i4>5</vt:i4>
      </vt:variant>
      <vt:variant>
        <vt:lpwstr/>
      </vt:variant>
      <vt:variant>
        <vt:lpwstr>__RefHeading___Toc286759972</vt:lpwstr>
      </vt:variant>
      <vt:variant>
        <vt:i4>7602243</vt:i4>
      </vt:variant>
      <vt:variant>
        <vt:i4>8</vt:i4>
      </vt:variant>
      <vt:variant>
        <vt:i4>0</vt:i4>
      </vt:variant>
      <vt:variant>
        <vt:i4>5</vt:i4>
      </vt:variant>
      <vt:variant>
        <vt:lpwstr/>
      </vt:variant>
      <vt:variant>
        <vt:lpwstr>__RefHeading___Toc286759971</vt:lpwstr>
      </vt:variant>
      <vt:variant>
        <vt:i4>7602243</vt:i4>
      </vt:variant>
      <vt:variant>
        <vt:i4>5</vt:i4>
      </vt:variant>
      <vt:variant>
        <vt:i4>0</vt:i4>
      </vt:variant>
      <vt:variant>
        <vt:i4>5</vt:i4>
      </vt:variant>
      <vt:variant>
        <vt:lpwstr/>
      </vt:variant>
      <vt:variant>
        <vt:lpwstr>__RefHeading___Toc286759970</vt:lpwstr>
      </vt:variant>
      <vt:variant>
        <vt:i4>7667779</vt:i4>
      </vt:variant>
      <vt:variant>
        <vt:i4>2</vt:i4>
      </vt:variant>
      <vt:variant>
        <vt:i4>0</vt:i4>
      </vt:variant>
      <vt:variant>
        <vt:i4>5</vt:i4>
      </vt:variant>
      <vt:variant>
        <vt:lpwstr/>
      </vt:variant>
      <vt:variant>
        <vt:lpwstr>__RefHeading___Toc286759969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Apskaitos vadovo standartinė forma</dc:title>
  <dc:creator>Matas.Jarusevicius</dc:creator>
  <cp:lastModifiedBy>Vartotojas</cp:lastModifiedBy>
  <cp:revision>2</cp:revision>
  <cp:lastPrinted>2015-01-26T12:44:00Z</cp:lastPrinted>
  <dcterms:created xsi:type="dcterms:W3CDTF">2016-11-08T08:35:00Z</dcterms:created>
  <dcterms:modified xsi:type="dcterms:W3CDTF">2016-11-08T08:35:00Z</dcterms:modified>
</cp:coreProperties>
</file>